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81" w:rsidRPr="00C02078" w:rsidRDefault="00A86781" w:rsidP="00A86781">
      <w:pPr>
        <w:shd w:val="clear" w:color="auto" w:fill="526A9C"/>
        <w:spacing w:after="330" w:line="240" w:lineRule="auto"/>
        <w:outlineLvl w:val="0"/>
        <w:rPr>
          <w:rFonts w:ascii="Helvetica" w:eastAsia="Times New Roman" w:hAnsi="Helvetica" w:cs="Helvetica"/>
          <w:color w:val="FFFFFF"/>
          <w:kern w:val="36"/>
          <w:sz w:val="40"/>
          <w:szCs w:val="48"/>
        </w:rPr>
      </w:pPr>
      <w:r w:rsidRPr="00C02078">
        <w:rPr>
          <w:rFonts w:ascii="Helvetica" w:eastAsia="Times New Roman" w:hAnsi="Helvetica" w:cs="Helvetica"/>
          <w:color w:val="FFFFFF"/>
          <w:kern w:val="36"/>
          <w:sz w:val="40"/>
          <w:szCs w:val="48"/>
        </w:rPr>
        <w:t xml:space="preserve">Efficacy of therapeutic plasma exchange in the treatment of </w:t>
      </w:r>
      <w:proofErr w:type="spellStart"/>
      <w:r w:rsidRPr="00C02078">
        <w:rPr>
          <w:rFonts w:ascii="Helvetica" w:eastAsia="Times New Roman" w:hAnsi="Helvetica" w:cs="Helvetica"/>
          <w:color w:val="FFFFFF"/>
          <w:kern w:val="36"/>
          <w:sz w:val="40"/>
          <w:szCs w:val="48"/>
        </w:rPr>
        <w:t>penn</w:t>
      </w:r>
      <w:proofErr w:type="spellEnd"/>
      <w:r w:rsidRPr="00C02078">
        <w:rPr>
          <w:rFonts w:ascii="Helvetica" w:eastAsia="Times New Roman" w:hAnsi="Helvetica" w:cs="Helvetica"/>
          <w:color w:val="FFFFFF"/>
          <w:kern w:val="36"/>
          <w:sz w:val="40"/>
          <w:szCs w:val="48"/>
        </w:rPr>
        <w:t xml:space="preserve"> class 3 and 4 cytokine release syndrome complicating COVID-19</w:t>
      </w:r>
    </w:p>
    <w:p w:rsidR="00965EBD" w:rsidRDefault="00965EBD"/>
    <w:p w:rsidR="00A86781" w:rsidRDefault="00A86781"/>
    <w:p w:rsidR="00A86781" w:rsidRDefault="00C02078">
      <w:hyperlink r:id="rId5" w:history="1">
        <w:r w:rsidR="00A86781" w:rsidRPr="00BA27D5">
          <w:rPr>
            <w:rStyle w:val="Hyperlink"/>
          </w:rPr>
          <w:t>https://www.resmedjournal.com/article/S0954-6111(20)30328-0/fulltext</w:t>
        </w:r>
      </w:hyperlink>
    </w:p>
    <w:p w:rsidR="00A86781" w:rsidRDefault="00A86781"/>
    <w:p w:rsidR="00A86781" w:rsidRPr="00A86781" w:rsidRDefault="00A86781" w:rsidP="00A86781">
      <w:pPr>
        <w:spacing w:before="450" w:after="300" w:line="240" w:lineRule="auto"/>
        <w:outlineLvl w:val="1"/>
        <w:rPr>
          <w:rFonts w:ascii="Times New Roman" w:eastAsia="Times New Roman" w:hAnsi="Times New Roman" w:cs="Times New Roman"/>
          <w:b/>
          <w:bCs/>
          <w:sz w:val="36"/>
          <w:szCs w:val="36"/>
        </w:rPr>
      </w:pPr>
      <w:r w:rsidRPr="00A86781">
        <w:rPr>
          <w:rFonts w:ascii="Times New Roman" w:eastAsia="Times New Roman" w:hAnsi="Times New Roman" w:cs="Times New Roman"/>
          <w:b/>
          <w:bCs/>
          <w:sz w:val="36"/>
          <w:szCs w:val="36"/>
        </w:rPr>
        <w:t>Highlights</w:t>
      </w:r>
    </w:p>
    <w:p w:rsidR="00A86781" w:rsidRPr="00A86781" w:rsidRDefault="00A86781" w:rsidP="00A86781">
      <w:pPr>
        <w:spacing w:beforeAutospacing="1" w:after="0" w:line="240" w:lineRule="auto"/>
        <w:ind w:left="720"/>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Plasmapheresis can effectively reduce injurious cytokines that complicate COVID-19.</w:t>
      </w:r>
    </w:p>
    <w:p w:rsidR="00A86781" w:rsidRPr="00A86781" w:rsidRDefault="00A86781" w:rsidP="00A86781">
      <w:pPr>
        <w:spacing w:beforeAutospacing="1" w:after="0" w:line="240" w:lineRule="auto"/>
        <w:ind w:left="720"/>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Plasmapheresis can produce clinically meaningful improvement in oxygenation.</w:t>
      </w:r>
    </w:p>
    <w:p w:rsidR="00A86781" w:rsidRPr="00A86781" w:rsidRDefault="00A86781" w:rsidP="00A86781">
      <w:pPr>
        <w:spacing w:beforeAutospacing="1" w:line="240" w:lineRule="auto"/>
        <w:ind w:left="720"/>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Plasmapheresis can be safely used as a treatment for COVID-19 cytokine storm.</w:t>
      </w:r>
    </w:p>
    <w:p w:rsidR="00A86781" w:rsidRPr="00A86781" w:rsidRDefault="00A86781" w:rsidP="00A86781">
      <w:pPr>
        <w:spacing w:before="825" w:after="300" w:line="240" w:lineRule="auto"/>
        <w:outlineLvl w:val="1"/>
        <w:rPr>
          <w:rFonts w:ascii="Times New Roman" w:eastAsia="Times New Roman" w:hAnsi="Times New Roman" w:cs="Times New Roman"/>
          <w:b/>
          <w:bCs/>
          <w:sz w:val="36"/>
          <w:szCs w:val="36"/>
        </w:rPr>
      </w:pPr>
      <w:r w:rsidRPr="00A86781">
        <w:rPr>
          <w:rFonts w:ascii="Times New Roman" w:eastAsia="Times New Roman" w:hAnsi="Times New Roman" w:cs="Times New Roman"/>
          <w:b/>
          <w:bCs/>
          <w:sz w:val="36"/>
          <w:szCs w:val="36"/>
        </w:rPr>
        <w:t>Abstract</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Objectives</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Cytokine release syndrome (CRS) is a potentially severe complication of COVID-19 most commonly resulting in respiratory failure. This ten-patient study was designed to determine the efficacy of therapeutic plasma exchange (TPE) in improving oxygenation and in reducing the cytokine load in a critically ill subset of patients.</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Methods</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Five single volume plasma exchanges over eight days within a 14-day study period. In mechanically ventilated patients, oxygenation was measured via the PaO2/FiO2 (P/F) ratio and the oxygenation index (OI) daily for 14 days. Supplemental oxygen requirements were tracked daily for non-ventilated patients.</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Results</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Non-ventilated patients were liberated from supplemental oxygen after TPE. The response was rapid with an 87% average reduction in oxygenation requirements following and average time to return to room air of 5.25 days. All mechanically ventilated patients demonstrated improvement in oxygenation with a 78% average improvement in the P/F ratio and a 43% improvement in OI. C-reactive protein (CRP) and serum levels of IL-6, IL-8, IL-10, TNFα, </w:t>
      </w:r>
      <w:proofErr w:type="spellStart"/>
      <w:r w:rsidRPr="00A86781">
        <w:rPr>
          <w:rFonts w:ascii="Times New Roman" w:eastAsia="Times New Roman" w:hAnsi="Times New Roman" w:cs="Times New Roman"/>
          <w:sz w:val="24"/>
          <w:szCs w:val="24"/>
        </w:rPr>
        <w:t>IFNγ</w:t>
      </w:r>
      <w:proofErr w:type="spellEnd"/>
      <w:r w:rsidRPr="00A86781">
        <w:rPr>
          <w:rFonts w:ascii="Times New Roman" w:eastAsia="Times New Roman" w:hAnsi="Times New Roman" w:cs="Times New Roman"/>
          <w:sz w:val="24"/>
          <w:szCs w:val="24"/>
        </w:rPr>
        <w:t xml:space="preserve"> and GM-CSF, were </w:t>
      </w:r>
      <w:r w:rsidRPr="00A86781">
        <w:rPr>
          <w:rFonts w:ascii="Times New Roman" w:eastAsia="Times New Roman" w:hAnsi="Times New Roman" w:cs="Times New Roman"/>
          <w:sz w:val="24"/>
          <w:szCs w:val="24"/>
        </w:rPr>
        <w:lastRenderedPageBreak/>
        <w:t>measured daily with immediate post TPE levels drawn on days 1, 2, 4, 6 and 8. All patients demonstrated significant reductions in CRP, IL-6, IL-10 and TNFα.</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Conclusions</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In the majority of patients with Penn class 3 and 4 CRS complicating COVID-19, TPE demonstrated a prompt improvement in oxygenation and reduction in cytokine load without compromising patient safety. As this pilot study was envisioned to be hypothesis generating, expanded trials using TPE alone and in conjunction with novel pharmacologic agents are warranted.</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Registration</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ClinicalTrials.gov </w:t>
      </w:r>
      <w:hyperlink r:id="rId6" w:tgtFrame="_blank" w:history="1">
        <w:r w:rsidRPr="00A86781">
          <w:rPr>
            <w:rFonts w:ascii="Times New Roman" w:eastAsia="Times New Roman" w:hAnsi="Times New Roman" w:cs="Times New Roman"/>
            <w:color w:val="005789"/>
            <w:sz w:val="24"/>
            <w:szCs w:val="24"/>
            <w:u w:val="single"/>
          </w:rPr>
          <w:t>NCT04374149</w:t>
        </w:r>
      </w:hyperlink>
      <w:r w:rsidRPr="00A86781">
        <w:rPr>
          <w:rFonts w:ascii="Times New Roman" w:eastAsia="Times New Roman" w:hAnsi="Times New Roman" w:cs="Times New Roman"/>
          <w:sz w:val="24"/>
          <w:szCs w:val="24"/>
        </w:rPr>
        <w:t>.</w:t>
      </w:r>
    </w:p>
    <w:p w:rsidR="00A86781" w:rsidRPr="00A86781" w:rsidRDefault="00A86781" w:rsidP="00A86781">
      <w:pPr>
        <w:spacing w:before="825" w:after="300" w:line="240" w:lineRule="auto"/>
        <w:outlineLvl w:val="1"/>
        <w:rPr>
          <w:rFonts w:ascii="Times New Roman" w:eastAsia="Times New Roman" w:hAnsi="Times New Roman" w:cs="Times New Roman"/>
          <w:b/>
          <w:bCs/>
          <w:sz w:val="36"/>
          <w:szCs w:val="36"/>
        </w:rPr>
      </w:pPr>
      <w:r w:rsidRPr="00A86781">
        <w:rPr>
          <w:rFonts w:ascii="Times New Roman" w:eastAsia="Times New Roman" w:hAnsi="Times New Roman" w:cs="Times New Roman"/>
          <w:b/>
          <w:bCs/>
          <w:sz w:val="36"/>
          <w:szCs w:val="36"/>
        </w:rPr>
        <w:t>Keywords</w:t>
      </w:r>
    </w:p>
    <w:p w:rsidR="00A86781" w:rsidRPr="00A86781" w:rsidRDefault="00C02078" w:rsidP="00A86781">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hyperlink r:id="rId7" w:history="1">
        <w:r w:rsidR="00A86781" w:rsidRPr="00A86781">
          <w:rPr>
            <w:rFonts w:ascii="Times New Roman" w:eastAsia="Times New Roman" w:hAnsi="Times New Roman" w:cs="Times New Roman"/>
            <w:color w:val="005789"/>
            <w:sz w:val="24"/>
            <w:szCs w:val="24"/>
            <w:u w:val="single"/>
          </w:rPr>
          <w:t>Therapeutic plasma exchange</w:t>
        </w:r>
      </w:hyperlink>
    </w:p>
    <w:p w:rsidR="00A86781" w:rsidRPr="00A86781" w:rsidRDefault="00C02078" w:rsidP="00A86781">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hyperlink r:id="rId8" w:history="1">
        <w:r w:rsidR="00A86781" w:rsidRPr="00A86781">
          <w:rPr>
            <w:rFonts w:ascii="Times New Roman" w:eastAsia="Times New Roman" w:hAnsi="Times New Roman" w:cs="Times New Roman"/>
            <w:color w:val="005789"/>
            <w:sz w:val="24"/>
            <w:szCs w:val="24"/>
            <w:u w:val="single"/>
          </w:rPr>
          <w:t>COVID-19</w:t>
        </w:r>
      </w:hyperlink>
    </w:p>
    <w:p w:rsidR="00A86781" w:rsidRPr="00A86781" w:rsidRDefault="00C02078" w:rsidP="00A86781">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hyperlink r:id="rId9" w:history="1">
        <w:r w:rsidR="00A86781" w:rsidRPr="00A86781">
          <w:rPr>
            <w:rFonts w:ascii="Times New Roman" w:eastAsia="Times New Roman" w:hAnsi="Times New Roman" w:cs="Times New Roman"/>
            <w:color w:val="005789"/>
            <w:sz w:val="24"/>
            <w:szCs w:val="24"/>
            <w:u w:val="single"/>
          </w:rPr>
          <w:t>Cytokine release syndrome</w:t>
        </w:r>
      </w:hyperlink>
    </w:p>
    <w:p w:rsidR="00A86781" w:rsidRPr="00A86781" w:rsidRDefault="00C02078" w:rsidP="00A86781">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hyperlink r:id="rId10" w:history="1">
        <w:r w:rsidR="00A86781" w:rsidRPr="00A86781">
          <w:rPr>
            <w:rFonts w:ascii="Times New Roman" w:eastAsia="Times New Roman" w:hAnsi="Times New Roman" w:cs="Times New Roman"/>
            <w:color w:val="005789"/>
            <w:sz w:val="24"/>
            <w:szCs w:val="24"/>
            <w:u w:val="single"/>
          </w:rPr>
          <w:t>Respiratory failure</w:t>
        </w:r>
      </w:hyperlink>
    </w:p>
    <w:p w:rsidR="00A86781" w:rsidRPr="00A86781" w:rsidRDefault="00C02078" w:rsidP="00A86781">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hyperlink r:id="rId11" w:history="1">
        <w:r w:rsidR="00A86781" w:rsidRPr="00A86781">
          <w:rPr>
            <w:rFonts w:ascii="Times New Roman" w:eastAsia="Times New Roman" w:hAnsi="Times New Roman" w:cs="Times New Roman"/>
            <w:color w:val="005789"/>
            <w:sz w:val="24"/>
            <w:szCs w:val="24"/>
            <w:u w:val="single"/>
          </w:rPr>
          <w:t>Oxygenation</w:t>
        </w:r>
      </w:hyperlink>
    </w:p>
    <w:p w:rsidR="00A86781" w:rsidRPr="00A86781" w:rsidRDefault="00C02078" w:rsidP="00A86781">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hyperlink r:id="rId12" w:history="1">
        <w:r w:rsidR="00A86781" w:rsidRPr="00A86781">
          <w:rPr>
            <w:rFonts w:ascii="Times New Roman" w:eastAsia="Times New Roman" w:hAnsi="Times New Roman" w:cs="Times New Roman"/>
            <w:color w:val="005789"/>
            <w:sz w:val="24"/>
            <w:szCs w:val="24"/>
            <w:u w:val="single"/>
          </w:rPr>
          <w:t>Therapeutic benefit</w:t>
        </w:r>
      </w:hyperlink>
    </w:p>
    <w:p w:rsidR="00A86781" w:rsidRPr="00A86781" w:rsidRDefault="00A86781" w:rsidP="00A86781">
      <w:pPr>
        <w:spacing w:before="825" w:after="300" w:line="240" w:lineRule="auto"/>
        <w:outlineLvl w:val="1"/>
        <w:rPr>
          <w:rFonts w:ascii="Times New Roman" w:eastAsia="Times New Roman" w:hAnsi="Times New Roman" w:cs="Times New Roman"/>
          <w:b/>
          <w:bCs/>
          <w:sz w:val="36"/>
          <w:szCs w:val="36"/>
        </w:rPr>
      </w:pPr>
      <w:r w:rsidRPr="00A86781">
        <w:rPr>
          <w:rFonts w:ascii="Times New Roman" w:eastAsia="Times New Roman" w:hAnsi="Times New Roman" w:cs="Times New Roman"/>
          <w:b/>
          <w:bCs/>
          <w:sz w:val="36"/>
          <w:szCs w:val="36"/>
        </w:rPr>
        <w:t>1. Introduction</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The virally mediated pandemic of 2020 is linked to severe acute respiratory syndrome coronavirus 2 (SARS-CoV-2) causing coronavirus disease 2019 (COVID-19). The predominant modes of transmission are respiratory droplets, </w:t>
      </w:r>
      <w:proofErr w:type="spellStart"/>
      <w:r w:rsidRPr="00A86781">
        <w:rPr>
          <w:rFonts w:ascii="Times New Roman" w:eastAsia="Times New Roman" w:hAnsi="Times New Roman" w:cs="Times New Roman"/>
          <w:sz w:val="24"/>
          <w:szCs w:val="24"/>
        </w:rPr>
        <w:t>aerosolization</w:t>
      </w:r>
      <w:proofErr w:type="spellEnd"/>
      <w:r w:rsidRPr="00A86781">
        <w:rPr>
          <w:rFonts w:ascii="Times New Roman" w:eastAsia="Times New Roman" w:hAnsi="Times New Roman" w:cs="Times New Roman"/>
          <w:sz w:val="24"/>
          <w:szCs w:val="24"/>
        </w:rPr>
        <w:t xml:space="preserve"> an</w:t>
      </w:r>
      <w:r w:rsidR="00C02078">
        <w:rPr>
          <w:rFonts w:ascii="Times New Roman" w:eastAsia="Times New Roman" w:hAnsi="Times New Roman" w:cs="Times New Roman"/>
          <w:sz w:val="24"/>
          <w:szCs w:val="24"/>
        </w:rPr>
        <w:t>d contaminated surface contact</w:t>
      </w:r>
      <w:r w:rsidRPr="00A86781">
        <w:rPr>
          <w:rFonts w:ascii="Times New Roman" w:eastAsia="Times New Roman" w:hAnsi="Times New Roman" w:cs="Times New Roman"/>
          <w:sz w:val="24"/>
          <w:szCs w:val="24"/>
        </w:rPr>
        <w:t xml:space="preserve">. COVID-19 is characterized by a spectrum of severity and disease manifestations ranging from asymptomatic to </w:t>
      </w:r>
      <w:proofErr w:type="spellStart"/>
      <w:r w:rsidRPr="00A86781">
        <w:rPr>
          <w:rFonts w:ascii="Times New Roman" w:eastAsia="Times New Roman" w:hAnsi="Times New Roman" w:cs="Times New Roman"/>
          <w:sz w:val="24"/>
          <w:szCs w:val="24"/>
        </w:rPr>
        <w:t>multiorgan</w:t>
      </w:r>
      <w:proofErr w:type="spellEnd"/>
      <w:r w:rsidRPr="00A86781">
        <w:rPr>
          <w:rFonts w:ascii="Times New Roman" w:eastAsia="Times New Roman" w:hAnsi="Times New Roman" w:cs="Times New Roman"/>
          <w:sz w:val="24"/>
          <w:szCs w:val="24"/>
        </w:rPr>
        <w:t xml:space="preserve"> failure. While definitive treatment is lacking, there is an increasing awareness of the associated systemic cascade of inflammatory molecules which warrants the exploration of possible therapeutic intervention.</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Therapeutic plasma exchange (TPE) has long played a successful role in the depletion of injurious immunoglobulins and immune complexes across </w:t>
      </w:r>
      <w:r w:rsidR="00C02078">
        <w:rPr>
          <w:rFonts w:ascii="Times New Roman" w:eastAsia="Times New Roman" w:hAnsi="Times New Roman" w:cs="Times New Roman"/>
          <w:sz w:val="24"/>
          <w:szCs w:val="24"/>
        </w:rPr>
        <w:t>a diverse spectrum of diseases</w:t>
      </w:r>
      <w:r w:rsidRPr="00A86781">
        <w:rPr>
          <w:rFonts w:ascii="Times New Roman" w:eastAsia="Times New Roman" w:hAnsi="Times New Roman" w:cs="Times New Roman"/>
          <w:sz w:val="24"/>
          <w:szCs w:val="24"/>
        </w:rPr>
        <w:t xml:space="preserve">. Its efficacy in addressing syndromes of cytokine excess has been more widely debated with inconclusive </w:t>
      </w:r>
      <w:r w:rsidR="00C02078">
        <w:rPr>
          <w:rFonts w:ascii="Times New Roman" w:eastAsia="Times New Roman" w:hAnsi="Times New Roman" w:cs="Times New Roman"/>
          <w:sz w:val="24"/>
          <w:szCs w:val="24"/>
        </w:rPr>
        <w:t>results in ameliorating sepsis</w:t>
      </w:r>
      <w:r w:rsidRPr="00A86781">
        <w:rPr>
          <w:rFonts w:ascii="Times New Roman" w:eastAsia="Times New Roman" w:hAnsi="Times New Roman" w:cs="Times New Roman"/>
          <w:sz w:val="24"/>
          <w:szCs w:val="24"/>
        </w:rPr>
        <w:t>, while both disputed and supported as efficacious in vasculitis</w:t>
      </w:r>
      <w:r w:rsidR="00C02078">
        <w:rPr>
          <w:rFonts w:ascii="Times New Roman" w:eastAsia="Times New Roman" w:hAnsi="Times New Roman" w:cs="Times New Roman"/>
          <w:sz w:val="24"/>
          <w:szCs w:val="24"/>
        </w:rPr>
        <w:t xml:space="preserve"> and other inflammatory states. </w:t>
      </w:r>
      <w:proofErr w:type="spellStart"/>
      <w:r w:rsidR="00C02078">
        <w:rPr>
          <w:rFonts w:ascii="Times New Roman" w:eastAsia="Times New Roman" w:hAnsi="Times New Roman" w:cs="Times New Roman"/>
          <w:sz w:val="24"/>
          <w:szCs w:val="24"/>
        </w:rPr>
        <w:t>Lyu</w:t>
      </w:r>
      <w:proofErr w:type="spellEnd"/>
      <w:r w:rsidR="00C02078">
        <w:rPr>
          <w:rFonts w:ascii="Times New Roman" w:eastAsia="Times New Roman" w:hAnsi="Times New Roman" w:cs="Times New Roman"/>
          <w:sz w:val="24"/>
          <w:szCs w:val="24"/>
        </w:rPr>
        <w:t xml:space="preserve"> and colleagues </w:t>
      </w:r>
      <w:r w:rsidRPr="00A86781">
        <w:rPr>
          <w:rFonts w:ascii="Times New Roman" w:eastAsia="Times New Roman" w:hAnsi="Times New Roman" w:cs="Times New Roman"/>
          <w:sz w:val="24"/>
          <w:szCs w:val="24"/>
        </w:rPr>
        <w:t>postulated that centrifugal TPE may be more effective than membrane filtration to remove smaller protein molecules. While cytokines possess a molecular weight amenable to reduction by TPE, their extravascular distribution and potentially high rate of production make them less than ideal solutes for depletion by apheresis.</w:t>
      </w:r>
    </w:p>
    <w:p w:rsidR="00A86781" w:rsidRPr="00A86781" w:rsidRDefault="00C02078" w:rsidP="00C020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Conti and colleagues </w:t>
      </w:r>
      <w:r w:rsidR="00A86781" w:rsidRPr="00A86781">
        <w:rPr>
          <w:rFonts w:ascii="Times New Roman" w:eastAsia="Times New Roman" w:hAnsi="Times New Roman" w:cs="Times New Roman"/>
          <w:sz w:val="24"/>
          <w:szCs w:val="24"/>
        </w:rPr>
        <w:t>have outlined the binding of COVID-19 to the Toll-like receptor (TLR) with subsequent multistep generation of mature IL-1β to trigger fever and pneumonitis. Many investigators draw similarity to the evolving understanding of cytokine storm or the cy</w:t>
      </w:r>
      <w:r>
        <w:rPr>
          <w:rFonts w:ascii="Times New Roman" w:eastAsia="Times New Roman" w:hAnsi="Times New Roman" w:cs="Times New Roman"/>
          <w:sz w:val="24"/>
          <w:szCs w:val="24"/>
        </w:rPr>
        <w:t xml:space="preserve">tokine release syndrome. Huang </w:t>
      </w:r>
      <w:r w:rsidR="00A86781" w:rsidRPr="00A86781">
        <w:rPr>
          <w:rFonts w:ascii="Times New Roman" w:eastAsia="Times New Roman" w:hAnsi="Times New Roman" w:cs="Times New Roman"/>
          <w:sz w:val="24"/>
          <w:szCs w:val="24"/>
        </w:rPr>
        <w:t>reported excessive elaboration of IL-2, IL-10, TNFα and macrophage inflammatory protein 1-alpha am</w:t>
      </w:r>
      <w:r>
        <w:rPr>
          <w:rFonts w:ascii="Times New Roman" w:eastAsia="Times New Roman" w:hAnsi="Times New Roman" w:cs="Times New Roman"/>
          <w:sz w:val="24"/>
          <w:szCs w:val="24"/>
        </w:rPr>
        <w:t xml:space="preserve">ong others, while Mehta et </w:t>
      </w:r>
      <w:proofErr w:type="spellStart"/>
      <w:proofErr w:type="gramStart"/>
      <w:r>
        <w:rPr>
          <w:rFonts w:ascii="Times New Roman" w:eastAsia="Times New Roman" w:hAnsi="Times New Roman" w:cs="Times New Roman"/>
          <w:sz w:val="24"/>
          <w:szCs w:val="24"/>
        </w:rPr>
        <w:t>al.</w:t>
      </w:r>
      <w:r w:rsidR="00A86781" w:rsidRPr="00A86781">
        <w:rPr>
          <w:rFonts w:ascii="Times New Roman" w:eastAsia="Times New Roman" w:hAnsi="Times New Roman" w:cs="Times New Roman"/>
          <w:sz w:val="24"/>
          <w:szCs w:val="24"/>
        </w:rPr>
        <w:t>noted</w:t>
      </w:r>
      <w:proofErr w:type="spellEnd"/>
      <w:proofErr w:type="gramEnd"/>
      <w:r w:rsidR="00A86781" w:rsidRPr="00A86781">
        <w:rPr>
          <w:rFonts w:ascii="Times New Roman" w:eastAsia="Times New Roman" w:hAnsi="Times New Roman" w:cs="Times New Roman"/>
          <w:sz w:val="24"/>
          <w:szCs w:val="24"/>
        </w:rPr>
        <w:t xml:space="preserve"> the resemblance of severe COVID-19 expression to secondary </w:t>
      </w:r>
      <w:proofErr w:type="spellStart"/>
      <w:r w:rsidR="00A86781" w:rsidRPr="00A86781">
        <w:rPr>
          <w:rFonts w:ascii="Times New Roman" w:eastAsia="Times New Roman" w:hAnsi="Times New Roman" w:cs="Times New Roman"/>
          <w:sz w:val="24"/>
          <w:szCs w:val="24"/>
        </w:rPr>
        <w:t>hemophagocytic</w:t>
      </w:r>
      <w:proofErr w:type="spellEnd"/>
      <w:r w:rsidR="00A86781" w:rsidRPr="00A86781">
        <w:rPr>
          <w:rFonts w:ascii="Times New Roman" w:eastAsia="Times New Roman" w:hAnsi="Times New Roman" w:cs="Times New Roman"/>
          <w:sz w:val="24"/>
          <w:szCs w:val="24"/>
        </w:rPr>
        <w:t xml:space="preserve"> </w:t>
      </w:r>
      <w:proofErr w:type="spellStart"/>
      <w:r w:rsidR="00A86781" w:rsidRPr="00A86781">
        <w:rPr>
          <w:rFonts w:ascii="Times New Roman" w:eastAsia="Times New Roman" w:hAnsi="Times New Roman" w:cs="Times New Roman"/>
          <w:sz w:val="24"/>
          <w:szCs w:val="24"/>
        </w:rPr>
        <w:t>lymphohistiocytosis</w:t>
      </w:r>
      <w:proofErr w:type="spellEnd"/>
      <w:r w:rsidR="00A86781" w:rsidRPr="00A86781">
        <w:rPr>
          <w:rFonts w:ascii="Times New Roman" w:eastAsia="Times New Roman" w:hAnsi="Times New Roman" w:cs="Times New Roman"/>
          <w:sz w:val="24"/>
          <w:szCs w:val="24"/>
        </w:rPr>
        <w:t xml:space="preserve"> (</w:t>
      </w:r>
      <w:proofErr w:type="spellStart"/>
      <w:r w:rsidR="00A86781" w:rsidRPr="00A86781">
        <w:rPr>
          <w:rFonts w:ascii="Times New Roman" w:eastAsia="Times New Roman" w:hAnsi="Times New Roman" w:cs="Times New Roman"/>
          <w:sz w:val="24"/>
          <w:szCs w:val="24"/>
        </w:rPr>
        <w:t>sHLH</w:t>
      </w:r>
      <w:proofErr w:type="spellEnd"/>
      <w:r w:rsidR="00A86781" w:rsidRPr="00A86781">
        <w:rPr>
          <w:rFonts w:ascii="Times New Roman" w:eastAsia="Times New Roman" w:hAnsi="Times New Roman" w:cs="Times New Roman"/>
          <w:sz w:val="24"/>
          <w:szCs w:val="24"/>
        </w:rPr>
        <w:t xml:space="preserve">) with its potentially fatal </w:t>
      </w:r>
      <w:proofErr w:type="spellStart"/>
      <w:r w:rsidR="00A86781" w:rsidRPr="00A86781">
        <w:rPr>
          <w:rFonts w:ascii="Times New Roman" w:eastAsia="Times New Roman" w:hAnsi="Times New Roman" w:cs="Times New Roman"/>
          <w:sz w:val="24"/>
          <w:szCs w:val="24"/>
        </w:rPr>
        <w:t>hypercytokinemic</w:t>
      </w:r>
      <w:proofErr w:type="spellEnd"/>
      <w:r w:rsidR="00A86781" w:rsidRPr="00A86781">
        <w:rPr>
          <w:rFonts w:ascii="Times New Roman" w:eastAsia="Times New Roman" w:hAnsi="Times New Roman" w:cs="Times New Roman"/>
          <w:sz w:val="24"/>
          <w:szCs w:val="24"/>
        </w:rPr>
        <w:t xml:space="preserve"> state. Additionally, TPE has been shown to have clinical benefit in various </w:t>
      </w:r>
      <w:proofErr w:type="spellStart"/>
      <w:r w:rsidR="00A86781" w:rsidRPr="00A86781">
        <w:rPr>
          <w:rFonts w:ascii="Times New Roman" w:eastAsia="Times New Roman" w:hAnsi="Times New Roman" w:cs="Times New Roman"/>
          <w:sz w:val="24"/>
          <w:szCs w:val="24"/>
        </w:rPr>
        <w:t>hypercytokinemic</w:t>
      </w:r>
      <w:proofErr w:type="spellEnd"/>
      <w:r w:rsidR="00A86781" w:rsidRPr="00A86781">
        <w:rPr>
          <w:rFonts w:ascii="Times New Roman" w:eastAsia="Times New Roman" w:hAnsi="Times New Roman" w:cs="Times New Roman"/>
          <w:sz w:val="24"/>
          <w:szCs w:val="24"/>
        </w:rPr>
        <w:t xml:space="preserve"> states including CRS </w:t>
      </w:r>
      <w:r>
        <w:rPr>
          <w:rFonts w:ascii="Times New Roman" w:eastAsia="Times New Roman" w:hAnsi="Times New Roman" w:cs="Times New Roman"/>
          <w:sz w:val="24"/>
          <w:szCs w:val="24"/>
        </w:rPr>
        <w:t xml:space="preserve">following CAR T-cell treatment </w:t>
      </w:r>
      <w:r w:rsidR="00A86781" w:rsidRPr="00A86781">
        <w:rPr>
          <w:rFonts w:ascii="Times New Roman" w:eastAsia="Times New Roman" w:hAnsi="Times New Roman" w:cs="Times New Roman"/>
          <w:sz w:val="24"/>
          <w:szCs w:val="24"/>
        </w:rPr>
        <w:t>and in pH1N1 influenza A respiratory</w:t>
      </w:r>
      <w:r>
        <w:rPr>
          <w:rFonts w:ascii="Times New Roman" w:eastAsia="Times New Roman" w:hAnsi="Times New Roman" w:cs="Times New Roman"/>
          <w:sz w:val="24"/>
          <w:szCs w:val="24"/>
        </w:rPr>
        <w:t xml:space="preserve"> failure and hemodynamic shock</w:t>
      </w:r>
      <w:r w:rsidR="00A86781" w:rsidRPr="00A86781">
        <w:rPr>
          <w:rFonts w:ascii="Times New Roman" w:eastAsia="Times New Roman" w:hAnsi="Times New Roman" w:cs="Times New Roman"/>
          <w:sz w:val="24"/>
          <w:szCs w:val="24"/>
        </w:rPr>
        <w:t>.</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Since completion of our pilot study, there have been several publications pertinent to the use of TPE in COVID-19 patients including a</w:t>
      </w:r>
      <w:r w:rsidR="00C02078">
        <w:rPr>
          <w:rFonts w:ascii="Times New Roman" w:eastAsia="Times New Roman" w:hAnsi="Times New Roman" w:cs="Times New Roman"/>
          <w:sz w:val="24"/>
          <w:szCs w:val="24"/>
        </w:rPr>
        <w:t xml:space="preserve"> single case reporting benefit</w:t>
      </w:r>
      <w:r w:rsidRPr="00A86781">
        <w:rPr>
          <w:rFonts w:ascii="Times New Roman" w:eastAsia="Times New Roman" w:hAnsi="Times New Roman" w:cs="Times New Roman"/>
          <w:sz w:val="24"/>
          <w:szCs w:val="24"/>
        </w:rPr>
        <w:t xml:space="preserve">, </w:t>
      </w:r>
      <w:proofErr w:type="spellStart"/>
      <w:r w:rsidRPr="00A86781">
        <w:rPr>
          <w:rFonts w:ascii="Times New Roman" w:eastAsia="Times New Roman" w:hAnsi="Times New Roman" w:cs="Times New Roman"/>
          <w:sz w:val="24"/>
          <w:szCs w:val="24"/>
        </w:rPr>
        <w:t>advocation</w:t>
      </w:r>
      <w:proofErr w:type="spellEnd"/>
      <w:r w:rsidRPr="00A86781">
        <w:rPr>
          <w:rFonts w:ascii="Times New Roman" w:eastAsia="Times New Roman" w:hAnsi="Times New Roman" w:cs="Times New Roman"/>
          <w:sz w:val="24"/>
          <w:szCs w:val="24"/>
        </w:rPr>
        <w:t xml:space="preserve"> for clinical trials from t</w:t>
      </w:r>
      <w:r w:rsidR="00C02078">
        <w:rPr>
          <w:rFonts w:ascii="Times New Roman" w:eastAsia="Times New Roman" w:hAnsi="Times New Roman" w:cs="Times New Roman"/>
          <w:sz w:val="24"/>
          <w:szCs w:val="24"/>
        </w:rPr>
        <w:t>heoretical benefit</w:t>
      </w:r>
      <w:r w:rsidRPr="00A86781">
        <w:rPr>
          <w:rFonts w:ascii="Times New Roman" w:eastAsia="Times New Roman" w:hAnsi="Times New Roman" w:cs="Times New Roman"/>
          <w:sz w:val="24"/>
          <w:szCs w:val="24"/>
        </w:rPr>
        <w:t xml:space="preserve">, a non-randomized trial reporting higher </w:t>
      </w:r>
      <w:proofErr w:type="spellStart"/>
      <w:r w:rsidRPr="00A86781">
        <w:rPr>
          <w:rFonts w:ascii="Times New Roman" w:eastAsia="Times New Roman" w:hAnsi="Times New Roman" w:cs="Times New Roman"/>
          <w:sz w:val="24"/>
          <w:szCs w:val="24"/>
        </w:rPr>
        <w:t>extuba</w:t>
      </w:r>
      <w:r w:rsidR="00C02078">
        <w:rPr>
          <w:rFonts w:ascii="Times New Roman" w:eastAsia="Times New Roman" w:hAnsi="Times New Roman" w:cs="Times New Roman"/>
          <w:sz w:val="24"/>
          <w:szCs w:val="24"/>
        </w:rPr>
        <w:t>tion</w:t>
      </w:r>
      <w:proofErr w:type="spellEnd"/>
      <w:r w:rsidR="00C02078">
        <w:rPr>
          <w:rFonts w:ascii="Times New Roman" w:eastAsia="Times New Roman" w:hAnsi="Times New Roman" w:cs="Times New Roman"/>
          <w:sz w:val="24"/>
          <w:szCs w:val="24"/>
        </w:rPr>
        <w:t xml:space="preserve"> rates and lower mortality</w:t>
      </w:r>
      <w:r w:rsidRPr="00A86781">
        <w:rPr>
          <w:rFonts w:ascii="Times New Roman" w:eastAsia="Times New Roman" w:hAnsi="Times New Roman" w:cs="Times New Roman"/>
          <w:sz w:val="24"/>
          <w:szCs w:val="24"/>
        </w:rPr>
        <w:t>, and a report of five patients with improved oxygenation and a de</w:t>
      </w:r>
      <w:r w:rsidR="00C02078">
        <w:rPr>
          <w:rFonts w:ascii="Times New Roman" w:eastAsia="Times New Roman" w:hAnsi="Times New Roman" w:cs="Times New Roman"/>
          <w:sz w:val="24"/>
          <w:szCs w:val="24"/>
        </w:rPr>
        <w:t>crease in inflammatory markers</w:t>
      </w:r>
      <w:r w:rsidRPr="00A86781">
        <w:rPr>
          <w:rFonts w:ascii="Times New Roman" w:eastAsia="Times New Roman" w:hAnsi="Times New Roman" w:cs="Times New Roman"/>
          <w:sz w:val="24"/>
          <w:szCs w:val="24"/>
        </w:rPr>
        <w:t>. Additionally, there has been discussion of potential adverse events of TPE in COVID-19 including compromised immunity, worsening coagulopathy, and dep</w:t>
      </w:r>
      <w:r w:rsidR="00C02078">
        <w:rPr>
          <w:rFonts w:ascii="Times New Roman" w:eastAsia="Times New Roman" w:hAnsi="Times New Roman" w:cs="Times New Roman"/>
          <w:sz w:val="24"/>
          <w:szCs w:val="24"/>
        </w:rPr>
        <w:t>letion of blood bank resources.</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The cytokine release syndrome is characterized by fever, pneumonitis, and elaboration of a </w:t>
      </w:r>
      <w:proofErr w:type="spellStart"/>
      <w:r w:rsidRPr="00A86781">
        <w:rPr>
          <w:rFonts w:ascii="Times New Roman" w:eastAsia="Times New Roman" w:hAnsi="Times New Roman" w:cs="Times New Roman"/>
          <w:sz w:val="24"/>
          <w:szCs w:val="24"/>
        </w:rPr>
        <w:t>proinflammatory</w:t>
      </w:r>
      <w:proofErr w:type="spellEnd"/>
      <w:r w:rsidRPr="00A86781">
        <w:rPr>
          <w:rFonts w:ascii="Times New Roman" w:eastAsia="Times New Roman" w:hAnsi="Times New Roman" w:cs="Times New Roman"/>
          <w:sz w:val="24"/>
          <w:szCs w:val="24"/>
        </w:rPr>
        <w:t xml:space="preserve"> cascade of molecules complicating appro</w:t>
      </w:r>
      <w:r w:rsidR="00C02078">
        <w:rPr>
          <w:rFonts w:ascii="Times New Roman" w:eastAsia="Times New Roman" w:hAnsi="Times New Roman" w:cs="Times New Roman"/>
          <w:sz w:val="24"/>
          <w:szCs w:val="24"/>
        </w:rPr>
        <w:t>ximately 20% of COVID-19 cases</w:t>
      </w:r>
      <w:r w:rsidRPr="00A86781">
        <w:rPr>
          <w:rFonts w:ascii="Times New Roman" w:eastAsia="Times New Roman" w:hAnsi="Times New Roman" w:cs="Times New Roman"/>
          <w:sz w:val="24"/>
          <w:szCs w:val="24"/>
        </w:rPr>
        <w:t>. Mortality for patients requiring high flow oxygen but short of mechanical ventilation is variably reported. Mortality of critically ill patients requiring mechanical ventilation, while initially reported to exceed 50%, has been more rec</w:t>
      </w:r>
      <w:r w:rsidR="00C02078">
        <w:rPr>
          <w:rFonts w:ascii="Times New Roman" w:eastAsia="Times New Roman" w:hAnsi="Times New Roman" w:cs="Times New Roman"/>
          <w:sz w:val="24"/>
          <w:szCs w:val="24"/>
        </w:rPr>
        <w:t>ently reported as ‘only’ 35.7%.</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We utilized the Penn classification f</w:t>
      </w:r>
      <w:r w:rsidR="00C02078">
        <w:rPr>
          <w:rFonts w:ascii="Times New Roman" w:eastAsia="Times New Roman" w:hAnsi="Times New Roman" w:cs="Times New Roman"/>
          <w:sz w:val="24"/>
          <w:szCs w:val="24"/>
        </w:rPr>
        <w:t xml:space="preserve">or grading the severity of CRS. </w:t>
      </w:r>
      <w:r w:rsidRPr="00A86781">
        <w:rPr>
          <w:rFonts w:ascii="Times New Roman" w:eastAsia="Times New Roman" w:hAnsi="Times New Roman" w:cs="Times New Roman"/>
          <w:sz w:val="24"/>
          <w:szCs w:val="24"/>
        </w:rPr>
        <w:t>Penn class 3 is of clinical severity requiring hospitalization to manage organ dysfunction secondary to CRS. Penn class 4 is life-threatening CRS which requires high dose vasopressors or hypoxemia requiring mechanical ventilation. Here we share the results of a single arm, non-placebo-controlled pilot trial of TPE in ten patients with Penn class 3 or 4 CRS complicating COVID-19. Endpoints included clinical benefit, impact on oxygenation, time course of recovery from respiratory failure, daily CRP, and cytokine mapping for the 14-day study period and the impact of TPE on those blood levels.</w:t>
      </w:r>
    </w:p>
    <w:p w:rsidR="00A86781" w:rsidRPr="00A86781" w:rsidRDefault="00A86781" w:rsidP="00A86781">
      <w:pPr>
        <w:spacing w:before="825" w:after="300" w:line="240" w:lineRule="auto"/>
        <w:outlineLvl w:val="1"/>
        <w:rPr>
          <w:rFonts w:ascii="Times New Roman" w:eastAsia="Times New Roman" w:hAnsi="Times New Roman" w:cs="Times New Roman"/>
          <w:b/>
          <w:bCs/>
          <w:sz w:val="36"/>
          <w:szCs w:val="36"/>
        </w:rPr>
      </w:pPr>
      <w:r w:rsidRPr="00A86781">
        <w:rPr>
          <w:rFonts w:ascii="Times New Roman" w:eastAsia="Times New Roman" w:hAnsi="Times New Roman" w:cs="Times New Roman"/>
          <w:b/>
          <w:bCs/>
          <w:sz w:val="36"/>
          <w:szCs w:val="36"/>
        </w:rPr>
        <w:t>2. Materials and methods</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2.1 Study population</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Eligible patients were COVID-19 positive by polymerase chain reaction (PCR), met criteria for Penn class 3 or 4 CRS, were aged 12 to 80 and required supplemental oxygen or mechanical ventilation. Patients were excluded if pregnant, breastfeeding, categorized as Class 3 or 4 New York Heart Association heart failure, stage 4 obstructive lung disease or interstitial lung disease with chronic hypoxic respiratory failure requiring supplemental oxygen at baseline. Patients were also excluded for current use of disease-modifying anti-rheumatic drugs (with the exception of </w:t>
      </w:r>
      <w:proofErr w:type="spellStart"/>
      <w:r w:rsidRPr="00A86781">
        <w:rPr>
          <w:rFonts w:ascii="Times New Roman" w:eastAsia="Times New Roman" w:hAnsi="Times New Roman" w:cs="Times New Roman"/>
          <w:sz w:val="24"/>
          <w:szCs w:val="24"/>
        </w:rPr>
        <w:t>hydroxychloroquine</w:t>
      </w:r>
      <w:proofErr w:type="spellEnd"/>
      <w:r w:rsidRPr="00A86781">
        <w:rPr>
          <w:rFonts w:ascii="Times New Roman" w:eastAsia="Times New Roman" w:hAnsi="Times New Roman" w:cs="Times New Roman"/>
          <w:sz w:val="24"/>
          <w:szCs w:val="24"/>
        </w:rPr>
        <w:t xml:space="preserve"> or IL-6 inhibitors), chronic corticosteroids if in excess of prednisone 10 mg/day or equivalent, suspected or confirmed clinically significant bacterial infection, history of tuberculosis, HIV, or irritable bowel disease, creatinine clearance of less than 15 mL/min, absolute neutrophil count less than 1000/</w:t>
      </w:r>
      <w:proofErr w:type="spellStart"/>
      <w:r w:rsidRPr="00A86781">
        <w:rPr>
          <w:rFonts w:ascii="Times New Roman" w:eastAsia="Times New Roman" w:hAnsi="Times New Roman" w:cs="Times New Roman"/>
          <w:sz w:val="24"/>
          <w:szCs w:val="24"/>
        </w:rPr>
        <w:t>μL</w:t>
      </w:r>
      <w:proofErr w:type="spellEnd"/>
      <w:r w:rsidRPr="00A86781">
        <w:rPr>
          <w:rFonts w:ascii="Times New Roman" w:eastAsia="Times New Roman" w:hAnsi="Times New Roman" w:cs="Times New Roman"/>
          <w:sz w:val="24"/>
          <w:szCs w:val="24"/>
        </w:rPr>
        <w:t>, platelet count less than 50,000/</w:t>
      </w:r>
      <w:proofErr w:type="spellStart"/>
      <w:r w:rsidRPr="00A86781">
        <w:rPr>
          <w:rFonts w:ascii="Times New Roman" w:eastAsia="Times New Roman" w:hAnsi="Times New Roman" w:cs="Times New Roman"/>
          <w:sz w:val="24"/>
          <w:szCs w:val="24"/>
        </w:rPr>
        <w:t>μL</w:t>
      </w:r>
      <w:proofErr w:type="spellEnd"/>
      <w:r w:rsidRPr="00A86781">
        <w:rPr>
          <w:rFonts w:ascii="Times New Roman" w:eastAsia="Times New Roman" w:hAnsi="Times New Roman" w:cs="Times New Roman"/>
          <w:sz w:val="24"/>
          <w:szCs w:val="24"/>
        </w:rPr>
        <w:t xml:space="preserve"> and AST or ALT greater than five times the institutional upper limit of normal.</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lastRenderedPageBreak/>
        <w:t>2.2 Trial design</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The trial, approved by the health system's Institutional Review Board (IRB), included a single cohort of ten patients on a single arm study without placebo randomization. All patients providing informed consent underwent TPE with one plasma volume exchange daily for two consecutive days then every other day times three for a total of five exchanges using the Spectra </w:t>
      </w:r>
      <w:proofErr w:type="spellStart"/>
      <w:r w:rsidRPr="00A86781">
        <w:rPr>
          <w:rFonts w:ascii="Times New Roman" w:eastAsia="Times New Roman" w:hAnsi="Times New Roman" w:cs="Times New Roman"/>
          <w:sz w:val="24"/>
          <w:szCs w:val="24"/>
        </w:rPr>
        <w:t>Optia</w:t>
      </w:r>
      <w:proofErr w:type="spellEnd"/>
      <w:r w:rsidRPr="00A86781">
        <w:rPr>
          <w:rFonts w:ascii="Times New Roman" w:eastAsia="Times New Roman" w:hAnsi="Times New Roman" w:cs="Times New Roman"/>
          <w:sz w:val="24"/>
          <w:szCs w:val="24"/>
        </w:rPr>
        <w:t xml:space="preserve"> Apheresis System (Terumo BCT Inc., Lakewood, Colorado, USA) employing centrifugal blood component separation. Patients received </w:t>
      </w:r>
      <w:proofErr w:type="spellStart"/>
      <w:r w:rsidRPr="00A86781">
        <w:rPr>
          <w:rFonts w:ascii="Times New Roman" w:eastAsia="Times New Roman" w:hAnsi="Times New Roman" w:cs="Times New Roman"/>
          <w:sz w:val="24"/>
          <w:szCs w:val="24"/>
        </w:rPr>
        <w:t>isovolemic</w:t>
      </w:r>
      <w:proofErr w:type="spellEnd"/>
      <w:r w:rsidRPr="00A86781">
        <w:rPr>
          <w:rFonts w:ascii="Times New Roman" w:eastAsia="Times New Roman" w:hAnsi="Times New Roman" w:cs="Times New Roman"/>
          <w:sz w:val="24"/>
          <w:szCs w:val="24"/>
        </w:rPr>
        <w:t xml:space="preserve"> replacement with 5% albumin or, in the setting of underlying coagulopathy, fresh frozen plasma (FFP).</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2.3 Study endpoints</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The primary endpoint of the trial was to document the efficacy of TPE in decreasing the CRP and cytokine load (IL-6, IL-8, IL-10, TNFα, </w:t>
      </w:r>
      <w:proofErr w:type="spellStart"/>
      <w:r w:rsidRPr="00A86781">
        <w:rPr>
          <w:rFonts w:ascii="Times New Roman" w:eastAsia="Times New Roman" w:hAnsi="Times New Roman" w:cs="Times New Roman"/>
          <w:sz w:val="24"/>
          <w:szCs w:val="24"/>
        </w:rPr>
        <w:t>IFNγ</w:t>
      </w:r>
      <w:proofErr w:type="spellEnd"/>
      <w:r w:rsidRPr="00A86781">
        <w:rPr>
          <w:rFonts w:ascii="Times New Roman" w:eastAsia="Times New Roman" w:hAnsi="Times New Roman" w:cs="Times New Roman"/>
          <w:sz w:val="24"/>
          <w:szCs w:val="24"/>
        </w:rPr>
        <w:t>, GM-CSF) by measuring these levels daily and immediately post TPE over a 14-day period. Secondary endpoints included the number of patients achieving clinical benefit, time to improvement in oxygenation and time to independence from mechanical ventilation or supplemental oxygen.</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2.4 Oxygenation metrics</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Supplemental oxygen requirements were tracked daily for non-ventilated patients. In mechanically ventilated patients, oxygenation was measured via the PaO2/FiO2 (P/F) ratio and the oxygenation index (OI) daily for 14 days. The OI (FiO2 x mean airway pressure/PaO2) is used to assess the intensity of </w:t>
      </w:r>
      <w:proofErr w:type="spellStart"/>
      <w:r w:rsidRPr="00A86781">
        <w:rPr>
          <w:rFonts w:ascii="Times New Roman" w:eastAsia="Times New Roman" w:hAnsi="Times New Roman" w:cs="Times New Roman"/>
          <w:sz w:val="24"/>
          <w:szCs w:val="24"/>
        </w:rPr>
        <w:t>ventilatory</w:t>
      </w:r>
      <w:proofErr w:type="spellEnd"/>
      <w:r w:rsidRPr="00A86781">
        <w:rPr>
          <w:rFonts w:ascii="Times New Roman" w:eastAsia="Times New Roman" w:hAnsi="Times New Roman" w:cs="Times New Roman"/>
          <w:sz w:val="24"/>
          <w:szCs w:val="24"/>
        </w:rPr>
        <w:t xml:space="preserve"> support required to maintain oxygenation.</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2.5 Laboratory assessments</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CRP and fibrinogen levels were analyzed by the hospital laboratory. Cytokine assays were performed in the cancer institute research laboratory. Serum levels of IL-6, IL-8, IL-10, TNFα, GM-CSF, and </w:t>
      </w:r>
      <w:proofErr w:type="spellStart"/>
      <w:r w:rsidRPr="00A86781">
        <w:rPr>
          <w:rFonts w:ascii="Times New Roman" w:eastAsia="Times New Roman" w:hAnsi="Times New Roman" w:cs="Times New Roman"/>
          <w:sz w:val="24"/>
          <w:szCs w:val="24"/>
        </w:rPr>
        <w:t>IFNγ</w:t>
      </w:r>
      <w:proofErr w:type="spellEnd"/>
      <w:r w:rsidRPr="00A86781">
        <w:rPr>
          <w:rFonts w:ascii="Times New Roman" w:eastAsia="Times New Roman" w:hAnsi="Times New Roman" w:cs="Times New Roman"/>
          <w:sz w:val="24"/>
          <w:szCs w:val="24"/>
        </w:rPr>
        <w:t xml:space="preserve"> were measured using a Magnetic </w:t>
      </w:r>
      <w:proofErr w:type="spellStart"/>
      <w:r w:rsidRPr="00A86781">
        <w:rPr>
          <w:rFonts w:ascii="Times New Roman" w:eastAsia="Times New Roman" w:hAnsi="Times New Roman" w:cs="Times New Roman"/>
          <w:sz w:val="24"/>
          <w:szCs w:val="24"/>
        </w:rPr>
        <w:t>Luminex</w:t>
      </w:r>
      <w:proofErr w:type="spellEnd"/>
      <w:r w:rsidRPr="00A86781">
        <w:rPr>
          <w:rFonts w:ascii="Times New Roman" w:eastAsia="Times New Roman" w:hAnsi="Times New Roman" w:cs="Times New Roman"/>
          <w:sz w:val="24"/>
          <w:szCs w:val="24"/>
        </w:rPr>
        <w:t xml:space="preserve"> Performance Assay (R&amp;D Systems) according </w:t>
      </w:r>
      <w:r w:rsidR="00C02078">
        <w:rPr>
          <w:rFonts w:ascii="Times New Roman" w:eastAsia="Times New Roman" w:hAnsi="Times New Roman" w:cs="Times New Roman"/>
          <w:sz w:val="24"/>
          <w:szCs w:val="24"/>
        </w:rPr>
        <w:t>to the manufacturer's protocol</w:t>
      </w:r>
      <w:r w:rsidRPr="00A86781">
        <w:rPr>
          <w:rFonts w:ascii="Times New Roman" w:eastAsia="Times New Roman" w:hAnsi="Times New Roman" w:cs="Times New Roman"/>
          <w:sz w:val="24"/>
          <w:szCs w:val="24"/>
        </w:rPr>
        <w:t>. Data were analyzed using Bio-</w:t>
      </w:r>
      <w:proofErr w:type="spellStart"/>
      <w:r w:rsidRPr="00A86781">
        <w:rPr>
          <w:rFonts w:ascii="Times New Roman" w:eastAsia="Times New Roman" w:hAnsi="Times New Roman" w:cs="Times New Roman"/>
          <w:sz w:val="24"/>
          <w:szCs w:val="24"/>
        </w:rPr>
        <w:t>Plex</w:t>
      </w:r>
      <w:proofErr w:type="spellEnd"/>
      <w:r w:rsidRPr="00A86781">
        <w:rPr>
          <w:rFonts w:ascii="Times New Roman" w:eastAsia="Times New Roman" w:hAnsi="Times New Roman" w:cs="Times New Roman"/>
          <w:sz w:val="24"/>
          <w:szCs w:val="24"/>
        </w:rPr>
        <w:t xml:space="preserve"> Manager Software and </w:t>
      </w:r>
      <w:proofErr w:type="spellStart"/>
      <w:r w:rsidRPr="00A86781">
        <w:rPr>
          <w:rFonts w:ascii="Times New Roman" w:eastAsia="Times New Roman" w:hAnsi="Times New Roman" w:cs="Times New Roman"/>
          <w:sz w:val="24"/>
          <w:szCs w:val="24"/>
        </w:rPr>
        <w:t>GraphPad</w:t>
      </w:r>
      <w:proofErr w:type="spellEnd"/>
      <w:r w:rsidRPr="00A86781">
        <w:rPr>
          <w:rFonts w:ascii="Times New Roman" w:eastAsia="Times New Roman" w:hAnsi="Times New Roman" w:cs="Times New Roman"/>
          <w:sz w:val="24"/>
          <w:szCs w:val="24"/>
        </w:rPr>
        <w:t xml:space="preserve"> Prism. COVID-19 serology was assayed at baseline, day 7 and day 14 utilizing Bio-Rad's </w:t>
      </w:r>
      <w:proofErr w:type="spellStart"/>
      <w:r w:rsidRPr="00A86781">
        <w:rPr>
          <w:rFonts w:ascii="Times New Roman" w:eastAsia="Times New Roman" w:hAnsi="Times New Roman" w:cs="Times New Roman"/>
          <w:sz w:val="24"/>
          <w:szCs w:val="24"/>
        </w:rPr>
        <w:t>Platelia</w:t>
      </w:r>
      <w:proofErr w:type="spellEnd"/>
      <w:r w:rsidRPr="00A86781">
        <w:rPr>
          <w:rFonts w:ascii="Times New Roman" w:eastAsia="Times New Roman" w:hAnsi="Times New Roman" w:cs="Times New Roman"/>
          <w:sz w:val="24"/>
          <w:szCs w:val="24"/>
        </w:rPr>
        <w:t xml:space="preserve"> SARS-CoV-2 total antibody assay.</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2.6 Clinical benefit</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Clinical benefit was defined as those patients who no longer required supplemental oxygen or who were successfully </w:t>
      </w:r>
      <w:proofErr w:type="spellStart"/>
      <w:r w:rsidRPr="00A86781">
        <w:rPr>
          <w:rFonts w:ascii="Times New Roman" w:eastAsia="Times New Roman" w:hAnsi="Times New Roman" w:cs="Times New Roman"/>
          <w:sz w:val="24"/>
          <w:szCs w:val="24"/>
        </w:rPr>
        <w:t>extubated</w:t>
      </w:r>
      <w:proofErr w:type="spellEnd"/>
      <w:r w:rsidRPr="00A86781">
        <w:rPr>
          <w:rFonts w:ascii="Times New Roman" w:eastAsia="Times New Roman" w:hAnsi="Times New Roman" w:cs="Times New Roman"/>
          <w:sz w:val="24"/>
          <w:szCs w:val="24"/>
        </w:rPr>
        <w:t xml:space="preserve"> within the 14-day study window.</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2.7 Safety</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Study related adverse events were graded using NCI Common terminology criteria for adverse events (CTCAE Version 5.0). The safety analysis included all patients who underwent at least one TPE.</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2.8 Statistical analysis plans</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This pilot study was conceived to be largely hypothesis generating as the small sample size was felt unlikely to allow for statistically significant inferences. However, the observation of sharp reductions in several molecular markers prompted analysis of the data. Median comparisons were performed using the Wilcoxon Signed Rank test.</w:t>
      </w:r>
    </w:p>
    <w:p w:rsidR="00A86781" w:rsidRPr="00A86781" w:rsidRDefault="00A86781" w:rsidP="00A86781">
      <w:pPr>
        <w:spacing w:before="825" w:after="300" w:line="240" w:lineRule="auto"/>
        <w:outlineLvl w:val="1"/>
        <w:rPr>
          <w:rFonts w:ascii="Times New Roman" w:eastAsia="Times New Roman" w:hAnsi="Times New Roman" w:cs="Times New Roman"/>
          <w:b/>
          <w:bCs/>
          <w:sz w:val="36"/>
          <w:szCs w:val="36"/>
        </w:rPr>
      </w:pPr>
      <w:r w:rsidRPr="00A86781">
        <w:rPr>
          <w:rFonts w:ascii="Times New Roman" w:eastAsia="Times New Roman" w:hAnsi="Times New Roman" w:cs="Times New Roman"/>
          <w:b/>
          <w:bCs/>
          <w:sz w:val="36"/>
          <w:szCs w:val="36"/>
        </w:rPr>
        <w:lastRenderedPageBreak/>
        <w:t>3. Results</w:t>
      </w:r>
    </w:p>
    <w:p w:rsidR="00A86781" w:rsidRPr="00A86781" w:rsidRDefault="00A86781" w:rsidP="00A86781">
      <w:pPr>
        <w:spacing w:after="180" w:line="240" w:lineRule="auto"/>
        <w:outlineLvl w:val="2"/>
        <w:rPr>
          <w:rFonts w:ascii="Times New Roman" w:eastAsia="Times New Roman" w:hAnsi="Times New Roman" w:cs="Times New Roman"/>
          <w:sz w:val="27"/>
          <w:szCs w:val="27"/>
        </w:rPr>
      </w:pPr>
      <w:r w:rsidRPr="00A86781">
        <w:rPr>
          <w:rFonts w:ascii="Times New Roman" w:eastAsia="Times New Roman" w:hAnsi="Times New Roman" w:cs="Times New Roman"/>
          <w:sz w:val="27"/>
          <w:szCs w:val="27"/>
        </w:rPr>
        <w:t>3.1 Patients</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Ten patients were enrolled between April and June of 2020 onto this single cohort pilot study to assess the impact of TPE on oxygenation status, clinical response, and laboratory parameters of inflammatory mediators. The patient demographics, Penn class of CRS and pertinent comorbid conditions are shown in </w:t>
      </w:r>
      <w:hyperlink r:id="rId13" w:anchor="tbl1" w:history="1">
        <w:r w:rsidRPr="00A86781">
          <w:rPr>
            <w:rFonts w:ascii="Times New Roman" w:eastAsia="Times New Roman" w:hAnsi="Times New Roman" w:cs="Times New Roman"/>
            <w:color w:val="005789"/>
            <w:sz w:val="24"/>
            <w:szCs w:val="24"/>
            <w:u w:val="single"/>
          </w:rPr>
          <w:t>Table 1</w:t>
        </w:r>
      </w:hyperlink>
      <w:r w:rsidRPr="00A86781">
        <w:rPr>
          <w:rFonts w:ascii="Times New Roman" w:eastAsia="Times New Roman" w:hAnsi="Times New Roman" w:cs="Times New Roman"/>
          <w:sz w:val="24"/>
          <w:szCs w:val="24"/>
        </w:rPr>
        <w:t xml:space="preserve">. No patients received previous or concurrent convalescent plasma, </w:t>
      </w:r>
      <w:proofErr w:type="spellStart"/>
      <w:r w:rsidRPr="00A86781">
        <w:rPr>
          <w:rFonts w:ascii="Times New Roman" w:eastAsia="Times New Roman" w:hAnsi="Times New Roman" w:cs="Times New Roman"/>
          <w:sz w:val="24"/>
          <w:szCs w:val="24"/>
        </w:rPr>
        <w:t>remdesivir</w:t>
      </w:r>
      <w:proofErr w:type="spellEnd"/>
      <w:r w:rsidRPr="00A86781">
        <w:rPr>
          <w:rFonts w:ascii="Times New Roman" w:eastAsia="Times New Roman" w:hAnsi="Times New Roman" w:cs="Times New Roman"/>
          <w:sz w:val="24"/>
          <w:szCs w:val="24"/>
        </w:rPr>
        <w:t xml:space="preserve">, corticosteroids, or IL-6 inhibitors. Two patients received a short course (less than four days) of </w:t>
      </w:r>
      <w:proofErr w:type="spellStart"/>
      <w:r w:rsidRPr="00A86781">
        <w:rPr>
          <w:rFonts w:ascii="Times New Roman" w:eastAsia="Times New Roman" w:hAnsi="Times New Roman" w:cs="Times New Roman"/>
          <w:sz w:val="24"/>
          <w:szCs w:val="24"/>
        </w:rPr>
        <w:t>hydroxychloroquine</w:t>
      </w:r>
      <w:proofErr w:type="spellEnd"/>
      <w:r w:rsidRPr="00A86781">
        <w:rPr>
          <w:rFonts w:ascii="Times New Roman" w:eastAsia="Times New Roman" w:hAnsi="Times New Roman" w:cs="Times New Roman"/>
          <w:sz w:val="24"/>
          <w:szCs w:val="24"/>
        </w:rPr>
        <w:t xml:space="preserve"> prior to enrollment. All patients received 5% human albumin as replacement fluid except for a single patient who received FFP for only two of five plasma exchanges. Nine of the ten patients completed all five planned TPE. One patient completed four of the five planned TPE but stopped early due to </w:t>
      </w:r>
      <w:proofErr w:type="spellStart"/>
      <w:r w:rsidRPr="00A86781">
        <w:rPr>
          <w:rFonts w:ascii="Times New Roman" w:eastAsia="Times New Roman" w:hAnsi="Times New Roman" w:cs="Times New Roman"/>
          <w:sz w:val="24"/>
          <w:szCs w:val="24"/>
        </w:rPr>
        <w:t>intercurrent</w:t>
      </w:r>
      <w:proofErr w:type="spellEnd"/>
      <w:r w:rsidRPr="00A86781">
        <w:rPr>
          <w:rFonts w:ascii="Times New Roman" w:eastAsia="Times New Roman" w:hAnsi="Times New Roman" w:cs="Times New Roman"/>
          <w:sz w:val="24"/>
          <w:szCs w:val="24"/>
        </w:rPr>
        <w:t xml:space="preserve"> staphylococcal pneumonia. There was no 14-day mortality.</w:t>
      </w:r>
    </w:p>
    <w:p w:rsidR="00A86781" w:rsidRDefault="00A86781"/>
    <w:p w:rsidR="00A86781" w:rsidRDefault="00A86781"/>
    <w:p w:rsidR="00A86781" w:rsidRPr="00A86781" w:rsidRDefault="00A86781" w:rsidP="00A86781">
      <w:pPr>
        <w:shd w:val="clear" w:color="auto" w:fill="FFFFFF"/>
        <w:spacing w:line="240" w:lineRule="auto"/>
        <w:rPr>
          <w:rFonts w:ascii="Helvetica" w:eastAsia="Times New Roman" w:hAnsi="Helvetica" w:cs="Helvetica"/>
          <w:b/>
          <w:bCs/>
          <w:color w:val="505050"/>
          <w:sz w:val="27"/>
          <w:szCs w:val="27"/>
        </w:rPr>
      </w:pPr>
      <w:r w:rsidRPr="00A86781">
        <w:rPr>
          <w:rFonts w:ascii="Helvetica" w:eastAsia="Times New Roman" w:hAnsi="Helvetica" w:cs="Helvetica"/>
          <w:b/>
          <w:bCs/>
          <w:color w:val="505050"/>
          <w:sz w:val="27"/>
          <w:szCs w:val="27"/>
        </w:rPr>
        <w:t>Table 1Demographic and clinical characteristics of patients.</w:t>
      </w:r>
    </w:p>
    <w:tbl>
      <w:tblPr>
        <w:tblW w:w="5000" w:type="pct"/>
        <w:tblCellSpacing w:w="0" w:type="dxa"/>
        <w:tblBorders>
          <w:top w:val="single" w:sz="6" w:space="0" w:color="F5F4F4"/>
          <w:left w:val="single" w:sz="6" w:space="0" w:color="F5F4F4"/>
          <w:bottom w:val="single" w:sz="6" w:space="0" w:color="F5F4F4"/>
        </w:tblBorders>
        <w:shd w:val="clear" w:color="auto" w:fill="FFFFFF"/>
        <w:tblCellMar>
          <w:left w:w="0" w:type="dxa"/>
          <w:right w:w="0" w:type="dxa"/>
        </w:tblCellMar>
        <w:tblLook w:val="04A0" w:firstRow="1" w:lastRow="0" w:firstColumn="1" w:lastColumn="0" w:noHBand="0" w:noVBand="1"/>
      </w:tblPr>
      <w:tblGrid>
        <w:gridCol w:w="7270"/>
        <w:gridCol w:w="2074"/>
      </w:tblGrid>
      <w:tr w:rsidR="00A86781" w:rsidRPr="00A86781" w:rsidTr="00A86781">
        <w:trPr>
          <w:tblHeader/>
          <w:tblCellSpacing w:w="0" w:type="dxa"/>
        </w:trPr>
        <w:tc>
          <w:tcPr>
            <w:tcW w:w="0" w:type="auto"/>
            <w:tcBorders>
              <w:top w:val="single" w:sz="6" w:space="0" w:color="F5F4F4"/>
              <w:left w:val="single" w:sz="6" w:space="0" w:color="F5F4F4"/>
              <w:bottom w:val="single" w:sz="12" w:space="0" w:color="80C6EE"/>
              <w:right w:val="single" w:sz="6" w:space="0" w:color="F5F4F4"/>
            </w:tcBorders>
            <w:shd w:val="clear" w:color="auto" w:fill="FFFFFF"/>
            <w:tcMar>
              <w:top w:w="300" w:type="dxa"/>
              <w:left w:w="240" w:type="dxa"/>
              <w:bottom w:w="225" w:type="dxa"/>
              <w:right w:w="240" w:type="dxa"/>
            </w:tcMar>
            <w:vAlign w:val="center"/>
            <w:hideMark/>
          </w:tcPr>
          <w:p w:rsidR="00A86781" w:rsidRPr="00A86781" w:rsidRDefault="00A86781" w:rsidP="00A86781">
            <w:pPr>
              <w:spacing w:after="0" w:line="240" w:lineRule="auto"/>
              <w:rPr>
                <w:rFonts w:ascii="Helvetica" w:eastAsia="Times New Roman" w:hAnsi="Helvetica" w:cs="Helvetica"/>
                <w:b/>
                <w:bCs/>
                <w:color w:val="505050"/>
                <w:sz w:val="27"/>
                <w:szCs w:val="27"/>
              </w:rPr>
            </w:pPr>
            <w:r w:rsidRPr="00A86781">
              <w:rPr>
                <w:rFonts w:ascii="Helvetica" w:eastAsia="Times New Roman" w:hAnsi="Helvetica" w:cs="Helvetica"/>
                <w:b/>
                <w:bCs/>
                <w:color w:val="505050"/>
                <w:sz w:val="27"/>
                <w:szCs w:val="27"/>
              </w:rPr>
              <w:t>N</w:t>
            </w:r>
          </w:p>
        </w:tc>
        <w:tc>
          <w:tcPr>
            <w:tcW w:w="0" w:type="auto"/>
            <w:tcBorders>
              <w:top w:val="single" w:sz="6" w:space="0" w:color="F5F4F4"/>
              <w:left w:val="single" w:sz="6" w:space="0" w:color="F5F4F4"/>
              <w:bottom w:val="single" w:sz="12" w:space="0" w:color="80C6EE"/>
              <w:right w:val="single" w:sz="6" w:space="0" w:color="F5F4F4"/>
            </w:tcBorders>
            <w:shd w:val="clear" w:color="auto" w:fill="FFFFFF"/>
            <w:tcMar>
              <w:top w:w="300" w:type="dxa"/>
              <w:left w:w="240" w:type="dxa"/>
              <w:bottom w:w="225" w:type="dxa"/>
              <w:right w:w="240" w:type="dxa"/>
            </w:tcMar>
            <w:vAlign w:val="center"/>
            <w:hideMark/>
          </w:tcPr>
          <w:p w:rsidR="00A86781" w:rsidRPr="00A86781" w:rsidRDefault="00A86781" w:rsidP="00A86781">
            <w:pPr>
              <w:spacing w:after="0" w:line="240" w:lineRule="auto"/>
              <w:rPr>
                <w:rFonts w:ascii="Helvetica" w:eastAsia="Times New Roman" w:hAnsi="Helvetica" w:cs="Helvetica"/>
                <w:b/>
                <w:bCs/>
                <w:color w:val="505050"/>
                <w:sz w:val="27"/>
                <w:szCs w:val="27"/>
              </w:rPr>
            </w:pPr>
            <w:r w:rsidRPr="00A86781">
              <w:rPr>
                <w:rFonts w:ascii="Helvetica" w:eastAsia="Times New Roman" w:hAnsi="Helvetica" w:cs="Helvetica"/>
                <w:b/>
                <w:bCs/>
                <w:color w:val="505050"/>
                <w:sz w:val="27"/>
                <w:szCs w:val="27"/>
              </w:rPr>
              <w:t>10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Age, Mean ± SD</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51.8 ± 12.6</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Body Mass Index (kg/m</w:t>
            </w:r>
            <w:r w:rsidRPr="00A86781">
              <w:rPr>
                <w:rFonts w:ascii="Helvetica" w:eastAsia="Times New Roman" w:hAnsi="Helvetica" w:cs="Helvetica"/>
                <w:color w:val="505050"/>
                <w:sz w:val="16"/>
                <w:szCs w:val="16"/>
                <w:vertAlign w:val="superscript"/>
              </w:rPr>
              <w:t>2</w:t>
            </w:r>
            <w:r w:rsidRPr="00A86781">
              <w:rPr>
                <w:rFonts w:ascii="Helvetica" w:eastAsia="Times New Roman" w:hAnsi="Helvetica" w:cs="Helvetica"/>
                <w:color w:val="505050"/>
                <w:sz w:val="27"/>
                <w:szCs w:val="27"/>
              </w:rPr>
              <w:t>), Mean ± SD</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34.4 ± 10.2</w:t>
            </w:r>
          </w:p>
        </w:tc>
      </w:tr>
      <w:tr w:rsidR="00A86781" w:rsidRPr="00A86781" w:rsidTr="00A86781">
        <w:trPr>
          <w:tblCellSpacing w:w="0" w:type="dxa"/>
        </w:trPr>
        <w:tc>
          <w:tcPr>
            <w:tcW w:w="0" w:type="auto"/>
            <w:gridSpan w:val="2"/>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Gender, N (%)</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Female</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7 (70)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Male</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3 (30)</w:t>
            </w:r>
          </w:p>
        </w:tc>
      </w:tr>
      <w:tr w:rsidR="00A86781" w:rsidRPr="00A86781" w:rsidTr="00A86781">
        <w:trPr>
          <w:tblCellSpacing w:w="0" w:type="dxa"/>
        </w:trPr>
        <w:tc>
          <w:tcPr>
            <w:tcW w:w="0" w:type="auto"/>
            <w:gridSpan w:val="2"/>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Race/Ethnicity, N (%)</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Hispanic</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6 (60)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lastRenderedPageBreak/>
              <w:t> </w:t>
            </w:r>
            <w:r w:rsidRPr="00A86781">
              <w:rPr>
                <w:rFonts w:ascii="Helvetica" w:eastAsia="Times New Roman" w:hAnsi="Helvetica" w:cs="Helvetica"/>
                <w:color w:val="505050"/>
                <w:sz w:val="27"/>
                <w:szCs w:val="27"/>
              </w:rPr>
              <w:t>White</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2 (20)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Asian</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1 (10)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Black</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1 (10)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Days from COVID + test to 1st TPE, Median (IQR)</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4.5 (3, 6)</w:t>
            </w:r>
          </w:p>
        </w:tc>
      </w:tr>
      <w:tr w:rsidR="00A86781" w:rsidRPr="00A86781" w:rsidTr="00A86781">
        <w:trPr>
          <w:tblCellSpacing w:w="0" w:type="dxa"/>
        </w:trPr>
        <w:tc>
          <w:tcPr>
            <w:tcW w:w="0" w:type="auto"/>
            <w:gridSpan w:val="2"/>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ABO Blood Group, N (%)</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A-</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1 (10)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A+</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2 (20)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B+</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2 (20)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O+</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5 (50)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Respiratory Status, N (%)</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Penn Class 3</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Nasal Cannula or High Flow Nasal Cannula</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4 (40)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Penn Class 4</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Invasive Mechanical Ventilation</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6 (60)</w:t>
            </w:r>
          </w:p>
        </w:tc>
      </w:tr>
      <w:tr w:rsidR="00A86781" w:rsidRPr="00A86781" w:rsidTr="00A86781">
        <w:trPr>
          <w:tblCellSpacing w:w="0" w:type="dxa"/>
        </w:trPr>
        <w:tc>
          <w:tcPr>
            <w:tcW w:w="0" w:type="auto"/>
            <w:gridSpan w:val="2"/>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lastRenderedPageBreak/>
              <w:t>Comorbidities, N (%)</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Diabetes</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3 (30)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Hypertension</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5 (50)</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 </w:t>
            </w:r>
            <w:r w:rsidRPr="00A86781">
              <w:rPr>
                <w:rFonts w:ascii="Helvetica" w:eastAsia="Times New Roman" w:hAnsi="Helvetica" w:cs="Helvetica"/>
                <w:color w:val="505050"/>
                <w:sz w:val="27"/>
                <w:szCs w:val="27"/>
              </w:rPr>
              <w:t>Obesity</w:t>
            </w:r>
          </w:p>
        </w:tc>
        <w:tc>
          <w:tcPr>
            <w:tcW w:w="0" w:type="auto"/>
            <w:tcBorders>
              <w:top w:val="single" w:sz="6" w:space="0" w:color="F5F4F4"/>
              <w:left w:val="single" w:sz="6" w:space="0" w:color="F5F4F4"/>
              <w:bottom w:val="single" w:sz="6" w:space="0" w:color="F5F4F4"/>
              <w:right w:val="single" w:sz="6" w:space="0" w:color="F5F4F4"/>
            </w:tcBorders>
            <w:shd w:val="clear" w:color="auto" w:fill="FFFFFF"/>
            <w:tcMar>
              <w:top w:w="240" w:type="dxa"/>
              <w:left w:w="240" w:type="dxa"/>
              <w:bottom w:w="240" w:type="dxa"/>
              <w:right w:w="240" w:type="dxa"/>
            </w:tcMar>
            <w:vAlign w:val="center"/>
            <w:hideMark/>
          </w:tcPr>
          <w:p w:rsidR="00A86781" w:rsidRPr="00A86781" w:rsidRDefault="00A86781" w:rsidP="00A86781">
            <w:pPr>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6 (60)</w:t>
            </w:r>
          </w:p>
        </w:tc>
      </w:tr>
    </w:tbl>
    <w:p w:rsidR="00A86781" w:rsidRDefault="00A86781"/>
    <w:p w:rsidR="00A86781" w:rsidRDefault="00A86781"/>
    <w:p w:rsidR="00A86781" w:rsidRPr="00A86781" w:rsidRDefault="00A86781" w:rsidP="00A86781">
      <w:pPr>
        <w:shd w:val="clear" w:color="auto" w:fill="FFFFFF"/>
        <w:spacing w:after="180" w:line="240" w:lineRule="auto"/>
        <w:outlineLvl w:val="2"/>
        <w:rPr>
          <w:rFonts w:ascii="Helvetica" w:eastAsia="Times New Roman" w:hAnsi="Helvetica" w:cs="Helvetica"/>
          <w:sz w:val="27"/>
          <w:szCs w:val="27"/>
        </w:rPr>
      </w:pPr>
      <w:r w:rsidRPr="00A86781">
        <w:rPr>
          <w:rFonts w:ascii="Helvetica" w:eastAsia="Times New Roman" w:hAnsi="Helvetica" w:cs="Helvetica"/>
          <w:sz w:val="27"/>
          <w:szCs w:val="27"/>
        </w:rPr>
        <w:t>3.2 Efficacy</w:t>
      </w:r>
    </w:p>
    <w:p w:rsidR="00A86781" w:rsidRPr="00A86781" w:rsidRDefault="00A86781" w:rsidP="00A86781">
      <w:pPr>
        <w:shd w:val="clear" w:color="auto" w:fill="FFFFFF"/>
        <w:spacing w:after="0" w:line="240" w:lineRule="auto"/>
        <w:rPr>
          <w:rFonts w:ascii="Helvetica" w:eastAsia="Times New Roman" w:hAnsi="Helvetica" w:cs="Helvetica"/>
          <w:color w:val="505050"/>
          <w:sz w:val="27"/>
          <w:szCs w:val="27"/>
        </w:rPr>
      </w:pPr>
      <w:r w:rsidRPr="00A86781">
        <w:rPr>
          <w:rFonts w:ascii="Helvetica" w:eastAsia="Times New Roman" w:hAnsi="Helvetica" w:cs="Helvetica"/>
          <w:color w:val="505050"/>
          <w:sz w:val="27"/>
          <w:szCs w:val="27"/>
        </w:rPr>
        <w:t>All four non-ventilated patients were liberated from supplemental oxygen after TPE. The response was rapid with an 87% average reduction of oxygenation requirements following the second TPE (day 3) and average time to return to room air of 5.25 days. Similarly, all ventilated patients demonstrated improvement in oxygenation by day 3 with an average improvement of 78% in the P/F ratio and an average improvement of 43% in the OI (</w:t>
      </w:r>
      <w:hyperlink r:id="rId14" w:anchor="tbl2" w:history="1">
        <w:r w:rsidRPr="00A86781">
          <w:rPr>
            <w:rFonts w:ascii="Helvetica" w:eastAsia="Times New Roman" w:hAnsi="Helvetica" w:cs="Helvetica"/>
            <w:color w:val="005789"/>
            <w:sz w:val="27"/>
            <w:szCs w:val="27"/>
            <w:u w:val="single"/>
          </w:rPr>
          <w:t>Table 2</w:t>
        </w:r>
      </w:hyperlink>
      <w:r w:rsidRPr="00A86781">
        <w:rPr>
          <w:rFonts w:ascii="Helvetica" w:eastAsia="Times New Roman" w:hAnsi="Helvetica" w:cs="Helvetica"/>
          <w:color w:val="505050"/>
          <w:sz w:val="27"/>
          <w:szCs w:val="27"/>
        </w:rPr>
        <w:t xml:space="preserve">). Two of the six ventilated patients were </w:t>
      </w:r>
      <w:proofErr w:type="spellStart"/>
      <w:r w:rsidRPr="00A86781">
        <w:rPr>
          <w:rFonts w:ascii="Helvetica" w:eastAsia="Times New Roman" w:hAnsi="Helvetica" w:cs="Helvetica"/>
          <w:color w:val="505050"/>
          <w:sz w:val="27"/>
          <w:szCs w:val="27"/>
        </w:rPr>
        <w:t>extubated</w:t>
      </w:r>
      <w:proofErr w:type="spellEnd"/>
      <w:r w:rsidRPr="00A86781">
        <w:rPr>
          <w:rFonts w:ascii="Helvetica" w:eastAsia="Times New Roman" w:hAnsi="Helvetica" w:cs="Helvetica"/>
          <w:color w:val="505050"/>
          <w:sz w:val="27"/>
          <w:szCs w:val="27"/>
        </w:rPr>
        <w:t xml:space="preserve"> within 14 days.</w:t>
      </w:r>
    </w:p>
    <w:p w:rsidR="00A86781" w:rsidRPr="00A86781" w:rsidRDefault="00A86781" w:rsidP="00A86781">
      <w:pPr>
        <w:shd w:val="clear" w:color="auto" w:fill="FFFFFF"/>
        <w:spacing w:line="240" w:lineRule="auto"/>
        <w:rPr>
          <w:rFonts w:ascii="Helvetica" w:eastAsia="Times New Roman" w:hAnsi="Helvetica" w:cs="Helvetica"/>
          <w:b/>
          <w:bCs/>
          <w:color w:val="505050"/>
          <w:sz w:val="27"/>
          <w:szCs w:val="27"/>
        </w:rPr>
      </w:pPr>
      <w:r w:rsidRPr="00A86781">
        <w:rPr>
          <w:rFonts w:ascii="Helvetica" w:eastAsia="Times New Roman" w:hAnsi="Helvetica" w:cs="Helvetica"/>
          <w:b/>
          <w:bCs/>
          <w:color w:val="505050"/>
          <w:sz w:val="27"/>
          <w:szCs w:val="27"/>
        </w:rPr>
        <w:t>Table 2Oxygenation status of patients.</w:t>
      </w:r>
    </w:p>
    <w:tbl>
      <w:tblPr>
        <w:tblW w:w="5000" w:type="pct"/>
        <w:tblCellSpacing w:w="0" w:type="dxa"/>
        <w:tblBorders>
          <w:top w:val="single" w:sz="6" w:space="0" w:color="F5F4F4"/>
          <w:left w:val="single" w:sz="6" w:space="0" w:color="F5F4F4"/>
          <w:bottom w:val="single" w:sz="6" w:space="0" w:color="F5F4F4"/>
        </w:tblBorders>
        <w:tblCellMar>
          <w:left w:w="0" w:type="dxa"/>
          <w:right w:w="0" w:type="dxa"/>
        </w:tblCellMar>
        <w:tblLook w:val="04A0" w:firstRow="1" w:lastRow="0" w:firstColumn="1" w:lastColumn="0" w:noHBand="0" w:noVBand="1"/>
      </w:tblPr>
      <w:tblGrid>
        <w:gridCol w:w="1244"/>
        <w:gridCol w:w="1384"/>
        <w:gridCol w:w="1385"/>
        <w:gridCol w:w="1317"/>
        <w:gridCol w:w="1573"/>
        <w:gridCol w:w="1142"/>
        <w:gridCol w:w="1299"/>
      </w:tblGrid>
      <w:tr w:rsidR="00A86781" w:rsidRPr="00A86781" w:rsidTr="00A86781">
        <w:trPr>
          <w:tblHeader/>
          <w:tblCellSpacing w:w="0" w:type="dxa"/>
        </w:trPr>
        <w:tc>
          <w:tcPr>
            <w:tcW w:w="0" w:type="auto"/>
            <w:gridSpan w:val="7"/>
            <w:tcBorders>
              <w:top w:val="single" w:sz="6" w:space="0" w:color="F5F4F4"/>
              <w:left w:val="single" w:sz="6" w:space="0" w:color="F5F4F4"/>
              <w:bottom w:val="single" w:sz="12" w:space="0" w:color="80C6EE"/>
              <w:right w:val="single" w:sz="6" w:space="0" w:color="F5F4F4"/>
            </w:tcBorders>
            <w:shd w:val="clear" w:color="auto" w:fill="FFFFFF"/>
            <w:tcMar>
              <w:top w:w="300" w:type="dxa"/>
              <w:left w:w="240" w:type="dxa"/>
              <w:bottom w:w="225"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b/>
                <w:bCs/>
                <w:sz w:val="24"/>
                <w:szCs w:val="24"/>
              </w:rPr>
            </w:pPr>
            <w:r w:rsidRPr="00A86781">
              <w:rPr>
                <w:rFonts w:ascii="Times New Roman" w:eastAsia="Times New Roman" w:hAnsi="Times New Roman" w:cs="Times New Roman"/>
                <w:b/>
                <w:bCs/>
                <w:sz w:val="24"/>
                <w:szCs w:val="24"/>
              </w:rPr>
              <w:t>Nasal Cannula or High Flow Nasal Cannula (n = 4)</w:t>
            </w:r>
          </w:p>
        </w:tc>
      </w:tr>
      <w:tr w:rsidR="00A86781" w:rsidRPr="00A86781" w:rsidTr="00A86781">
        <w:trPr>
          <w:tblHeader/>
          <w:tblCellSpacing w:w="0" w:type="dxa"/>
        </w:trPr>
        <w:tc>
          <w:tcPr>
            <w:tcW w:w="0" w:type="auto"/>
            <w:tcBorders>
              <w:top w:val="single" w:sz="6" w:space="0" w:color="F5F4F4"/>
              <w:left w:val="single" w:sz="6" w:space="0" w:color="F5F4F4"/>
              <w:bottom w:val="single" w:sz="12" w:space="0" w:color="80C6EE"/>
              <w:right w:val="single" w:sz="6" w:space="0" w:color="F5F4F4"/>
            </w:tcBorders>
            <w:shd w:val="clear" w:color="auto" w:fill="FFFFFF"/>
            <w:tcMar>
              <w:top w:w="300" w:type="dxa"/>
              <w:left w:w="240" w:type="dxa"/>
              <w:bottom w:w="225"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b/>
                <w:bCs/>
                <w:sz w:val="24"/>
                <w:szCs w:val="24"/>
              </w:rPr>
            </w:pPr>
          </w:p>
        </w:tc>
        <w:tc>
          <w:tcPr>
            <w:tcW w:w="0" w:type="auto"/>
            <w:tcBorders>
              <w:top w:val="single" w:sz="6" w:space="0" w:color="F5F4F4"/>
              <w:left w:val="single" w:sz="6" w:space="0" w:color="F5F4F4"/>
              <w:bottom w:val="single" w:sz="12" w:space="0" w:color="80C6EE"/>
              <w:right w:val="single" w:sz="6" w:space="0" w:color="F5F4F4"/>
            </w:tcBorders>
            <w:shd w:val="clear" w:color="auto" w:fill="FFFFFF"/>
            <w:tcMar>
              <w:top w:w="300" w:type="dxa"/>
              <w:left w:w="240" w:type="dxa"/>
              <w:bottom w:w="225"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b/>
                <w:bCs/>
                <w:sz w:val="24"/>
                <w:szCs w:val="24"/>
              </w:rPr>
            </w:pPr>
            <w:r w:rsidRPr="00A86781">
              <w:rPr>
                <w:rFonts w:ascii="Times New Roman" w:eastAsia="Times New Roman" w:hAnsi="Times New Roman" w:cs="Times New Roman"/>
                <w:b/>
                <w:bCs/>
                <w:sz w:val="24"/>
                <w:szCs w:val="24"/>
              </w:rPr>
              <w:t>Patient</w:t>
            </w:r>
          </w:p>
        </w:tc>
        <w:tc>
          <w:tcPr>
            <w:tcW w:w="0" w:type="auto"/>
            <w:tcBorders>
              <w:top w:val="single" w:sz="6" w:space="0" w:color="F5F4F4"/>
              <w:left w:val="single" w:sz="6" w:space="0" w:color="F5F4F4"/>
              <w:bottom w:val="single" w:sz="12" w:space="0" w:color="80C6EE"/>
              <w:right w:val="single" w:sz="6" w:space="0" w:color="F5F4F4"/>
            </w:tcBorders>
            <w:shd w:val="clear" w:color="auto" w:fill="FFFFFF"/>
            <w:tcMar>
              <w:top w:w="300" w:type="dxa"/>
              <w:left w:w="240" w:type="dxa"/>
              <w:bottom w:w="225"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b/>
                <w:bCs/>
                <w:sz w:val="24"/>
                <w:szCs w:val="24"/>
              </w:rPr>
            </w:pPr>
            <w:r w:rsidRPr="00A86781">
              <w:rPr>
                <w:rFonts w:ascii="Times New Roman" w:eastAsia="Times New Roman" w:hAnsi="Times New Roman" w:cs="Times New Roman"/>
                <w:b/>
                <w:bCs/>
                <w:sz w:val="24"/>
                <w:szCs w:val="24"/>
              </w:rPr>
              <w:t>Baseline O2 L/min on day of TPE</w:t>
            </w:r>
          </w:p>
        </w:tc>
        <w:tc>
          <w:tcPr>
            <w:tcW w:w="0" w:type="auto"/>
            <w:tcBorders>
              <w:top w:val="single" w:sz="6" w:space="0" w:color="F5F4F4"/>
              <w:left w:val="single" w:sz="6" w:space="0" w:color="F5F4F4"/>
              <w:bottom w:val="single" w:sz="12" w:space="0" w:color="80C6EE"/>
              <w:right w:val="single" w:sz="6" w:space="0" w:color="F5F4F4"/>
            </w:tcBorders>
            <w:shd w:val="clear" w:color="auto" w:fill="FFFFFF"/>
            <w:tcMar>
              <w:top w:w="300" w:type="dxa"/>
              <w:left w:w="240" w:type="dxa"/>
              <w:bottom w:w="225"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b/>
                <w:bCs/>
                <w:sz w:val="24"/>
                <w:szCs w:val="24"/>
              </w:rPr>
            </w:pPr>
            <w:r w:rsidRPr="00A86781">
              <w:rPr>
                <w:rFonts w:ascii="Times New Roman" w:eastAsia="Times New Roman" w:hAnsi="Times New Roman" w:cs="Times New Roman"/>
                <w:b/>
                <w:bCs/>
                <w:sz w:val="24"/>
                <w:szCs w:val="24"/>
              </w:rPr>
              <w:t>O2 L/min after 2nd TPE (day 3)</w:t>
            </w:r>
          </w:p>
        </w:tc>
        <w:tc>
          <w:tcPr>
            <w:tcW w:w="0" w:type="auto"/>
            <w:tcBorders>
              <w:top w:val="single" w:sz="6" w:space="0" w:color="F5F4F4"/>
              <w:left w:val="single" w:sz="6" w:space="0" w:color="F5F4F4"/>
              <w:bottom w:val="single" w:sz="12" w:space="0" w:color="80C6EE"/>
              <w:right w:val="single" w:sz="6" w:space="0" w:color="F5F4F4"/>
            </w:tcBorders>
            <w:shd w:val="clear" w:color="auto" w:fill="FFFFFF"/>
            <w:tcMar>
              <w:top w:w="300" w:type="dxa"/>
              <w:left w:w="240" w:type="dxa"/>
              <w:bottom w:w="225"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b/>
                <w:bCs/>
                <w:sz w:val="24"/>
                <w:szCs w:val="24"/>
              </w:rPr>
            </w:pPr>
            <w:r w:rsidRPr="00A86781">
              <w:rPr>
                <w:rFonts w:ascii="Times New Roman" w:eastAsia="Times New Roman" w:hAnsi="Times New Roman" w:cs="Times New Roman"/>
                <w:b/>
                <w:bCs/>
                <w:sz w:val="24"/>
                <w:szCs w:val="24"/>
              </w:rPr>
              <w:t>% Reduction at day 3</w:t>
            </w:r>
          </w:p>
        </w:tc>
        <w:tc>
          <w:tcPr>
            <w:tcW w:w="0" w:type="auto"/>
            <w:tcBorders>
              <w:top w:val="single" w:sz="6" w:space="0" w:color="F5F4F4"/>
              <w:left w:val="single" w:sz="6" w:space="0" w:color="F5F4F4"/>
              <w:bottom w:val="single" w:sz="12" w:space="0" w:color="80C6EE"/>
              <w:right w:val="single" w:sz="6" w:space="0" w:color="F5F4F4"/>
            </w:tcBorders>
            <w:shd w:val="clear" w:color="auto" w:fill="FFFFFF"/>
            <w:tcMar>
              <w:top w:w="300" w:type="dxa"/>
              <w:left w:w="240" w:type="dxa"/>
              <w:bottom w:w="225"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b/>
                <w:bCs/>
                <w:sz w:val="24"/>
                <w:szCs w:val="24"/>
              </w:rPr>
            </w:pPr>
            <w:r w:rsidRPr="00A86781">
              <w:rPr>
                <w:rFonts w:ascii="Times New Roman" w:eastAsia="Times New Roman" w:hAnsi="Times New Roman" w:cs="Times New Roman"/>
                <w:b/>
                <w:bCs/>
                <w:sz w:val="24"/>
                <w:szCs w:val="24"/>
              </w:rPr>
              <w:t>Time to Room Air (in days)</w:t>
            </w:r>
          </w:p>
        </w:tc>
        <w:tc>
          <w:tcPr>
            <w:tcW w:w="0" w:type="auto"/>
            <w:tcBorders>
              <w:top w:val="single" w:sz="6" w:space="0" w:color="F5F4F4"/>
              <w:left w:val="single" w:sz="6" w:space="0" w:color="F5F4F4"/>
              <w:bottom w:val="single" w:sz="12" w:space="0" w:color="80C6EE"/>
              <w:right w:val="single" w:sz="6" w:space="0" w:color="F5F4F4"/>
            </w:tcBorders>
            <w:shd w:val="clear" w:color="auto" w:fill="FFFFFF"/>
            <w:tcMar>
              <w:top w:w="300" w:type="dxa"/>
              <w:left w:w="240" w:type="dxa"/>
              <w:bottom w:w="225"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b/>
                <w:bCs/>
                <w:sz w:val="24"/>
                <w:szCs w:val="24"/>
              </w:rPr>
            </w:pP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101</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4</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60</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11</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102</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90</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4</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104</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6</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0</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100</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3</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110</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3</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0</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100</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3</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Average</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7.25</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1.25</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87.5</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5.25</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p>
        </w:tc>
      </w:tr>
      <w:tr w:rsidR="00A86781" w:rsidRPr="00A86781" w:rsidTr="00A86781">
        <w:trPr>
          <w:tblCellSpacing w:w="0" w:type="dxa"/>
        </w:trPr>
        <w:tc>
          <w:tcPr>
            <w:tcW w:w="0" w:type="auto"/>
            <w:gridSpan w:val="7"/>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r>
      <w:tr w:rsidR="00A86781" w:rsidRPr="00A86781" w:rsidTr="00A86781">
        <w:trPr>
          <w:tblCellSpacing w:w="0" w:type="dxa"/>
        </w:trPr>
        <w:tc>
          <w:tcPr>
            <w:tcW w:w="0" w:type="auto"/>
            <w:gridSpan w:val="7"/>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Mechanical Ventilation (n</w:t>
            </w:r>
            <w:r w:rsidRPr="00A86781">
              <w:rPr>
                <w:rFonts w:ascii="Times New Roman" w:eastAsia="Times New Roman" w:hAnsi="Times New Roman" w:cs="Times New Roman"/>
                <w:sz w:val="24"/>
                <w:szCs w:val="24"/>
              </w:rPr>
              <w:t> = </w:t>
            </w:r>
            <w:r w:rsidRPr="00A86781">
              <w:rPr>
                <w:rFonts w:ascii="Times New Roman" w:eastAsia="Times New Roman" w:hAnsi="Times New Roman" w:cs="Times New Roman"/>
                <w:b/>
                <w:bCs/>
                <w:sz w:val="24"/>
                <w:szCs w:val="24"/>
              </w:rPr>
              <w:t>6)</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Patient</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Baseline P/F ratio on day of TPE</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P/F ratio after 2nd TPE (day 3)</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 Change</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Baseline OI</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OI after 2nd TPE (day 3)</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 Change</w:t>
            </w:r>
          </w:p>
        </w:tc>
      </w:tr>
      <w:tr w:rsidR="00A86781" w:rsidRPr="00A86781" w:rsidTr="00A86781">
        <w:trPr>
          <w:tblCellSpacing w:w="0" w:type="dxa"/>
        </w:trPr>
        <w:tc>
          <w:tcPr>
            <w:tcW w:w="0" w:type="auto"/>
            <w:gridSpan w:val="7"/>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103</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255</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245</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−3.92</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5.1</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4.9</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−3.92</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105</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135</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152</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12.59</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14.07</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9.54</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−32.2</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lastRenderedPageBreak/>
              <w:t>106</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56</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143</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155.36</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29.7</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12.63</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−57.47</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107</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57</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150</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163.16</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29.82</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11</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−63.11</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108</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95</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194</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104.21</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14.74</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8.76</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−40.57</w:t>
            </w: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109</w:t>
            </w:r>
          </w:p>
          <w:p w:rsidR="00A86781" w:rsidRPr="00A86781" w:rsidRDefault="00C02078" w:rsidP="00A86781">
            <w:pPr>
              <w:spacing w:after="0" w:line="240" w:lineRule="auto"/>
              <w:rPr>
                <w:rFonts w:ascii="Times New Roman" w:eastAsia="Times New Roman" w:hAnsi="Times New Roman" w:cs="Times New Roman"/>
                <w:sz w:val="24"/>
                <w:szCs w:val="24"/>
              </w:rPr>
            </w:pPr>
            <w:hyperlink r:id="rId15" w:history="1">
              <w:r w:rsidR="00A86781" w:rsidRPr="00A86781">
                <w:rPr>
                  <w:rFonts w:ascii="Times New Roman" w:eastAsia="Times New Roman" w:hAnsi="Times New Roman" w:cs="Times New Roman"/>
                  <w:color w:val="005789"/>
                  <w:sz w:val="16"/>
                  <w:szCs w:val="16"/>
                  <w:u w:val="single"/>
                  <w:vertAlign w:val="superscript"/>
                </w:rPr>
                <w:t>a</w:t>
              </w:r>
            </w:hyperlink>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174</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240</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37.93</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8.03</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2.92</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−63.64</w:t>
            </w:r>
          </w:p>
        </w:tc>
      </w:tr>
      <w:tr w:rsidR="00A86781" w:rsidRPr="00A86781" w:rsidTr="00A86781">
        <w:trPr>
          <w:tblCellSpacing w:w="0" w:type="dxa"/>
        </w:trPr>
        <w:tc>
          <w:tcPr>
            <w:tcW w:w="0" w:type="auto"/>
            <w:gridSpan w:val="7"/>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p>
        </w:tc>
      </w:tr>
      <w:tr w:rsidR="00A86781" w:rsidRPr="00A86781" w:rsidTr="00A86781">
        <w:trPr>
          <w:tblCellSpacing w:w="0" w:type="dxa"/>
        </w:trPr>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Average</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78.22</w:t>
            </w: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0"/>
                <w:szCs w:val="20"/>
              </w:rPr>
            </w:pPr>
          </w:p>
        </w:tc>
        <w:tc>
          <w:tcPr>
            <w:tcW w:w="0" w:type="auto"/>
            <w:tcBorders>
              <w:top w:val="single" w:sz="6" w:space="0" w:color="F5F4F4"/>
              <w:left w:val="single" w:sz="6" w:space="0" w:color="F5F4F4"/>
              <w:bottom w:val="single" w:sz="6" w:space="0" w:color="F5F4F4"/>
              <w:right w:val="single" w:sz="6" w:space="0" w:color="F5F4F4"/>
            </w:tcBorders>
            <w:tcMar>
              <w:top w:w="240" w:type="dxa"/>
              <w:left w:w="240" w:type="dxa"/>
              <w:bottom w:w="240" w:type="dxa"/>
              <w:right w:w="240" w:type="dxa"/>
            </w:tcMar>
            <w:vAlign w:val="center"/>
            <w:hideMark/>
          </w:tcPr>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b/>
                <w:bCs/>
                <w:sz w:val="24"/>
                <w:szCs w:val="24"/>
              </w:rPr>
              <w:t>−43.49</w:t>
            </w:r>
          </w:p>
        </w:tc>
      </w:tr>
    </w:tbl>
    <w:p w:rsidR="00A86781" w:rsidRPr="00A86781" w:rsidRDefault="00A86781" w:rsidP="00A86781">
      <w:pPr>
        <w:shd w:val="clear" w:color="auto" w:fill="FFFFFF"/>
        <w:spacing w:line="240" w:lineRule="auto"/>
        <w:rPr>
          <w:rFonts w:ascii="Helvetica" w:eastAsia="Times New Roman" w:hAnsi="Helvetica" w:cs="Helvetica"/>
          <w:b/>
          <w:bCs/>
          <w:color w:val="505050"/>
          <w:sz w:val="24"/>
          <w:szCs w:val="24"/>
        </w:rPr>
      </w:pPr>
      <w:r w:rsidRPr="00A86781">
        <w:rPr>
          <w:rFonts w:ascii="Helvetica" w:eastAsia="Times New Roman" w:hAnsi="Helvetica" w:cs="Helvetica"/>
          <w:b/>
          <w:bCs/>
          <w:color w:val="505050"/>
          <w:sz w:val="24"/>
          <w:szCs w:val="24"/>
        </w:rPr>
        <w:t xml:space="preserve">a Patient 109-Patient was </w:t>
      </w:r>
      <w:proofErr w:type="spellStart"/>
      <w:r w:rsidRPr="00A86781">
        <w:rPr>
          <w:rFonts w:ascii="Helvetica" w:eastAsia="Times New Roman" w:hAnsi="Helvetica" w:cs="Helvetica"/>
          <w:b/>
          <w:bCs/>
          <w:color w:val="505050"/>
          <w:sz w:val="24"/>
          <w:szCs w:val="24"/>
        </w:rPr>
        <w:t>extubated</w:t>
      </w:r>
      <w:proofErr w:type="spellEnd"/>
      <w:r w:rsidRPr="00A86781">
        <w:rPr>
          <w:rFonts w:ascii="Helvetica" w:eastAsia="Times New Roman" w:hAnsi="Helvetica" w:cs="Helvetica"/>
          <w:b/>
          <w:bCs/>
          <w:color w:val="505050"/>
          <w:sz w:val="24"/>
          <w:szCs w:val="24"/>
        </w:rPr>
        <w:t xml:space="preserve"> on study day 3, therefore values were taken from the day prior (after TPE).</w:t>
      </w:r>
    </w:p>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TPE produced sharp and immediate reductions in CRP, IL-6, and IL-10 levels from baseline to completion of the second and fifth TPE and at study day 14. No incremental reductions in CRP, IL-6 and IL-10 were generated beyond the second TPE. TPE reduced levels of TNFα by completion of the second exchange but did not impact levels after the fifth TPE or at day 14 compared to baseline. TPE did not significantly alter IL-8 levels from baseline through day 14 (</w:t>
      </w:r>
      <w:hyperlink r:id="rId16" w:anchor="fig1" w:history="1">
        <w:r w:rsidRPr="00A86781">
          <w:rPr>
            <w:rFonts w:ascii="Times New Roman" w:eastAsia="Times New Roman" w:hAnsi="Times New Roman" w:cs="Times New Roman"/>
            <w:color w:val="005789"/>
            <w:sz w:val="24"/>
            <w:szCs w:val="24"/>
          </w:rPr>
          <w:t>Fig. 1</w:t>
        </w:r>
      </w:hyperlink>
      <w:r w:rsidRPr="00A86781">
        <w:rPr>
          <w:rFonts w:ascii="Times New Roman" w:eastAsia="Times New Roman" w:hAnsi="Times New Roman" w:cs="Times New Roman"/>
          <w:sz w:val="24"/>
          <w:szCs w:val="24"/>
        </w:rPr>
        <w:t xml:space="preserve">). GM-CSF levels were barely detectable or completely undetectable for all ten patients at baseline and through day 14. </w:t>
      </w:r>
      <w:proofErr w:type="spellStart"/>
      <w:r w:rsidRPr="00A86781">
        <w:rPr>
          <w:rFonts w:ascii="Times New Roman" w:eastAsia="Times New Roman" w:hAnsi="Times New Roman" w:cs="Times New Roman"/>
          <w:sz w:val="24"/>
          <w:szCs w:val="24"/>
        </w:rPr>
        <w:t>IFNγ</w:t>
      </w:r>
      <w:proofErr w:type="spellEnd"/>
      <w:r w:rsidRPr="00A86781">
        <w:rPr>
          <w:rFonts w:ascii="Times New Roman" w:eastAsia="Times New Roman" w:hAnsi="Times New Roman" w:cs="Times New Roman"/>
          <w:sz w:val="24"/>
          <w:szCs w:val="24"/>
        </w:rPr>
        <w:t xml:space="preserve"> levels were remarkable for only one of ten patients with an elevation at baseline and rendered undetectable after the second TPE. Given the small size of the study, no subset analysis was planned.</w:t>
      </w:r>
    </w:p>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noProof/>
          <w:sz w:val="24"/>
          <w:szCs w:val="24"/>
        </w:rPr>
        <w:lastRenderedPageBreak/>
        <w:drawing>
          <wp:inline distT="0" distB="0" distL="0" distR="0" wp14:anchorId="0B554840" wp14:editId="102DCDE2">
            <wp:extent cx="6153150" cy="7629525"/>
            <wp:effectExtent l="0" t="0" r="0" b="9525"/>
            <wp:docPr id="1" name="Picture 1"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3150" cy="7629525"/>
                    </a:xfrm>
                    <a:prstGeom prst="rect">
                      <a:avLst/>
                    </a:prstGeom>
                    <a:noFill/>
                    <a:ln>
                      <a:noFill/>
                    </a:ln>
                  </pic:spPr>
                </pic:pic>
              </a:graphicData>
            </a:graphic>
          </wp:inline>
        </w:drawing>
      </w:r>
    </w:p>
    <w:p w:rsidR="00A86781" w:rsidRPr="00A86781" w:rsidRDefault="00A86781" w:rsidP="00A86781">
      <w:pPr>
        <w:spacing w:after="0" w:line="240" w:lineRule="auto"/>
        <w:rPr>
          <w:rFonts w:ascii="Times New Roman" w:eastAsia="Times New Roman" w:hAnsi="Times New Roman" w:cs="Times New Roman"/>
          <w:b/>
          <w:bCs/>
          <w:sz w:val="24"/>
          <w:szCs w:val="24"/>
        </w:rPr>
      </w:pPr>
      <w:r w:rsidRPr="00A86781">
        <w:rPr>
          <w:rFonts w:ascii="Times New Roman" w:eastAsia="Times New Roman" w:hAnsi="Times New Roman" w:cs="Times New Roman"/>
          <w:b/>
          <w:bCs/>
          <w:color w:val="505050"/>
          <w:sz w:val="24"/>
          <w:szCs w:val="24"/>
        </w:rPr>
        <w:t>Fig. 1</w:t>
      </w:r>
      <w:r w:rsidRPr="00A86781">
        <w:rPr>
          <w:rFonts w:ascii="Times New Roman" w:eastAsia="Times New Roman" w:hAnsi="Times New Roman" w:cs="Times New Roman"/>
          <w:b/>
          <w:bCs/>
          <w:sz w:val="24"/>
          <w:szCs w:val="24"/>
        </w:rPr>
        <w:t>Two-sample Median Comparisons for CRP and Cytokine Levels.</w:t>
      </w:r>
    </w:p>
    <w:p w:rsidR="007A7558" w:rsidRDefault="007A7558" w:rsidP="00A86781">
      <w:pPr>
        <w:spacing w:line="240" w:lineRule="auto"/>
        <w:rPr>
          <w:rFonts w:ascii="Times New Roman" w:eastAsia="Times New Roman" w:hAnsi="Times New Roman" w:cs="Times New Roman"/>
          <w:sz w:val="24"/>
          <w:szCs w:val="24"/>
        </w:rPr>
      </w:pP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lastRenderedPageBreak/>
        <w:t xml:space="preserve">Six of the ten patients, including all four Penn class 3 and two of the six Penn class 4 patients, experienced a clinical benefit. There </w:t>
      </w:r>
      <w:proofErr w:type="gramStart"/>
      <w:r w:rsidRPr="00A86781">
        <w:rPr>
          <w:rFonts w:ascii="Times New Roman" w:eastAsia="Times New Roman" w:hAnsi="Times New Roman" w:cs="Times New Roman"/>
          <w:sz w:val="24"/>
          <w:szCs w:val="24"/>
        </w:rPr>
        <w:t>were</w:t>
      </w:r>
      <w:proofErr w:type="gramEnd"/>
      <w:r w:rsidRPr="00A86781">
        <w:rPr>
          <w:rFonts w:ascii="Times New Roman" w:eastAsia="Times New Roman" w:hAnsi="Times New Roman" w:cs="Times New Roman"/>
          <w:sz w:val="24"/>
          <w:szCs w:val="24"/>
        </w:rPr>
        <w:t xml:space="preserve"> no study related adverse events. TPE appears well tolerated with a notable absence of hypotension, ectopy, and autonomic lability. In several patients, we noted a transient need to titrate the fentanyl infusion likely due to the high plasma protein binding of the drug. A careful review of other medications was necessary to avoid inadvertent depletion. The development of bacterial pneumonia prompted TPE discontinuation following the fourth of five planned exchanges in one patient. There was no evidence of bacteremia related to the apheresis catheter. The schedule of TPE was not altered in any patient due to </w:t>
      </w:r>
      <w:proofErr w:type="spellStart"/>
      <w:r w:rsidRPr="00A86781">
        <w:rPr>
          <w:rFonts w:ascii="Times New Roman" w:eastAsia="Times New Roman" w:hAnsi="Times New Roman" w:cs="Times New Roman"/>
          <w:sz w:val="24"/>
          <w:szCs w:val="24"/>
        </w:rPr>
        <w:t>hypofibrinogenemia</w:t>
      </w:r>
      <w:proofErr w:type="spellEnd"/>
      <w:r w:rsidRPr="00A86781">
        <w:rPr>
          <w:rFonts w:ascii="Times New Roman" w:eastAsia="Times New Roman" w:hAnsi="Times New Roman" w:cs="Times New Roman"/>
          <w:sz w:val="24"/>
          <w:szCs w:val="24"/>
        </w:rPr>
        <w:t>.</w:t>
      </w:r>
    </w:p>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Positive serology for COVID-19 was present in seven of ten patients at baseline, two of 10 negative at baseline but becoming positive by day 7 and only one patient with a history of immunosuppressive therapy for non-Hodgkin's lymphoma demonstrated no evidence of humoral immunity throughout the study window. Once positive, all patients remained persistently positive (</w:t>
      </w:r>
      <w:hyperlink r:id="rId18" w:anchor="tbl3" w:history="1">
        <w:r w:rsidRPr="00A86781">
          <w:rPr>
            <w:rFonts w:ascii="Times New Roman" w:eastAsia="Times New Roman" w:hAnsi="Times New Roman" w:cs="Times New Roman"/>
            <w:color w:val="005789"/>
            <w:sz w:val="24"/>
            <w:szCs w:val="24"/>
          </w:rPr>
          <w:t>Table 3</w:t>
        </w:r>
      </w:hyperlink>
      <w:r w:rsidRPr="00A86781">
        <w:rPr>
          <w:rFonts w:ascii="Times New Roman" w:eastAsia="Times New Roman" w:hAnsi="Times New Roman" w:cs="Times New Roman"/>
          <w:sz w:val="24"/>
          <w:szCs w:val="24"/>
        </w:rPr>
        <w:t>).</w:t>
      </w:r>
    </w:p>
    <w:p w:rsidR="00A86781" w:rsidRPr="00A86781" w:rsidRDefault="00A86781" w:rsidP="00A86781">
      <w:pPr>
        <w:spacing w:line="240" w:lineRule="auto"/>
        <w:rPr>
          <w:rFonts w:ascii="Times New Roman" w:eastAsia="Times New Roman" w:hAnsi="Times New Roman" w:cs="Times New Roman"/>
          <w:b/>
          <w:bCs/>
          <w:sz w:val="24"/>
          <w:szCs w:val="24"/>
        </w:rPr>
      </w:pPr>
      <w:r w:rsidRPr="00A86781">
        <w:rPr>
          <w:rFonts w:ascii="Times New Roman" w:eastAsia="Times New Roman" w:hAnsi="Times New Roman" w:cs="Times New Roman"/>
          <w:b/>
          <w:bCs/>
          <w:sz w:val="24"/>
          <w:szCs w:val="24"/>
        </w:rPr>
        <w:t>Table 3COVID-19 Serology.</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noProof/>
          <w:sz w:val="24"/>
          <w:szCs w:val="24"/>
        </w:rPr>
        <w:drawing>
          <wp:inline distT="0" distB="0" distL="0" distR="0" wp14:anchorId="61C17D10" wp14:editId="422C5F88">
            <wp:extent cx="3038475" cy="1828800"/>
            <wp:effectExtent l="0" t="0" r="9525" b="0"/>
            <wp:docPr id="2" name="Picture 2" descr="Table thumbnail f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thumbnail fx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8475" cy="1828800"/>
                    </a:xfrm>
                    <a:prstGeom prst="rect">
                      <a:avLst/>
                    </a:prstGeom>
                    <a:noFill/>
                    <a:ln>
                      <a:noFill/>
                    </a:ln>
                  </pic:spPr>
                </pic:pic>
              </a:graphicData>
            </a:graphic>
          </wp:inline>
        </w:drawing>
      </w:r>
    </w:p>
    <w:p w:rsidR="00A86781" w:rsidRPr="00A86781" w:rsidRDefault="00A86781" w:rsidP="00A86781">
      <w:pPr>
        <w:spacing w:before="825" w:after="300" w:line="240" w:lineRule="auto"/>
        <w:outlineLvl w:val="1"/>
        <w:rPr>
          <w:rFonts w:ascii="Times New Roman" w:eastAsia="Times New Roman" w:hAnsi="Times New Roman" w:cs="Times New Roman"/>
          <w:b/>
          <w:bCs/>
          <w:sz w:val="36"/>
          <w:szCs w:val="36"/>
        </w:rPr>
      </w:pPr>
      <w:r w:rsidRPr="00A86781">
        <w:rPr>
          <w:rFonts w:ascii="Times New Roman" w:eastAsia="Times New Roman" w:hAnsi="Times New Roman" w:cs="Times New Roman"/>
          <w:b/>
          <w:bCs/>
          <w:sz w:val="36"/>
          <w:szCs w:val="36"/>
        </w:rPr>
        <w:t>4. Discussion</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This study included critically ill patients with severe disease burden. Six of the ten (60%) patients started TPE while on invasive mechanical ventilation with an average PEEP of 11.7 cm H</w:t>
      </w:r>
      <w:r w:rsidRPr="00A86781">
        <w:rPr>
          <w:rFonts w:ascii="Times New Roman" w:eastAsia="Times New Roman" w:hAnsi="Times New Roman" w:cs="Times New Roman"/>
          <w:sz w:val="20"/>
          <w:szCs w:val="20"/>
          <w:vertAlign w:val="subscript"/>
        </w:rPr>
        <w:t>2</w:t>
      </w:r>
      <w:r w:rsidRPr="00A86781">
        <w:rPr>
          <w:rFonts w:ascii="Times New Roman" w:eastAsia="Times New Roman" w:hAnsi="Times New Roman" w:cs="Times New Roman"/>
          <w:sz w:val="24"/>
          <w:szCs w:val="24"/>
        </w:rPr>
        <w:t>O and an average FiO2 of 0.68. Of the four patients who required oxygenation via nasal cannula, the average starting oxygenation was 7.3 L/min. In comparison, only 25.6% of patients in the ACTT-1 trial required mechanical ventilation while 11.9% of the patients did n</w:t>
      </w:r>
      <w:r w:rsidR="00C02078">
        <w:rPr>
          <w:rFonts w:ascii="Times New Roman" w:eastAsia="Times New Roman" w:hAnsi="Times New Roman" w:cs="Times New Roman"/>
          <w:sz w:val="24"/>
          <w:szCs w:val="24"/>
        </w:rPr>
        <w:t xml:space="preserve">ot require supplemental oxygen. </w:t>
      </w:r>
      <w:r w:rsidRPr="00A86781">
        <w:rPr>
          <w:rFonts w:ascii="Times New Roman" w:eastAsia="Times New Roman" w:hAnsi="Times New Roman" w:cs="Times New Roman"/>
          <w:sz w:val="24"/>
          <w:szCs w:val="24"/>
        </w:rPr>
        <w:t xml:space="preserve">Unlike studies reported to date, these ten patients were remarkable for their pristine freedom from confounding variables such as antecedent or concomitant convalescent plasma, </w:t>
      </w:r>
      <w:proofErr w:type="spellStart"/>
      <w:r w:rsidRPr="00A86781">
        <w:rPr>
          <w:rFonts w:ascii="Times New Roman" w:eastAsia="Times New Roman" w:hAnsi="Times New Roman" w:cs="Times New Roman"/>
          <w:sz w:val="24"/>
          <w:szCs w:val="24"/>
        </w:rPr>
        <w:t>remdesivir</w:t>
      </w:r>
      <w:proofErr w:type="spellEnd"/>
      <w:r w:rsidRPr="00A86781">
        <w:rPr>
          <w:rFonts w:ascii="Times New Roman" w:eastAsia="Times New Roman" w:hAnsi="Times New Roman" w:cs="Times New Roman"/>
          <w:sz w:val="24"/>
          <w:szCs w:val="24"/>
        </w:rPr>
        <w:t>, glucocorticoids and anti-IL-6 agents. This gave us a unique opportunity to define the impact of TPE more clearly.</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In keeping with</w:t>
      </w:r>
      <w:r w:rsidR="00C02078">
        <w:rPr>
          <w:rFonts w:ascii="Times New Roman" w:eastAsia="Times New Roman" w:hAnsi="Times New Roman" w:cs="Times New Roman"/>
          <w:sz w:val="24"/>
          <w:szCs w:val="24"/>
        </w:rPr>
        <w:t xml:space="preserve"> the findings of </w:t>
      </w:r>
      <w:proofErr w:type="spellStart"/>
      <w:r w:rsidR="00C02078">
        <w:rPr>
          <w:rFonts w:ascii="Times New Roman" w:eastAsia="Times New Roman" w:hAnsi="Times New Roman" w:cs="Times New Roman"/>
          <w:sz w:val="24"/>
          <w:szCs w:val="24"/>
        </w:rPr>
        <w:t>Morath</w:t>
      </w:r>
      <w:proofErr w:type="spellEnd"/>
      <w:r w:rsidR="00C02078">
        <w:rPr>
          <w:rFonts w:ascii="Times New Roman" w:eastAsia="Times New Roman" w:hAnsi="Times New Roman" w:cs="Times New Roman"/>
          <w:sz w:val="24"/>
          <w:szCs w:val="24"/>
        </w:rPr>
        <w:t xml:space="preserve"> et al </w:t>
      </w:r>
      <w:r w:rsidRPr="00A86781">
        <w:rPr>
          <w:rFonts w:ascii="Times New Roman" w:eastAsia="Times New Roman" w:hAnsi="Times New Roman" w:cs="Times New Roman"/>
          <w:sz w:val="24"/>
          <w:szCs w:val="24"/>
        </w:rPr>
        <w:t xml:space="preserve">all patients, irrespective of </w:t>
      </w:r>
      <w:proofErr w:type="spellStart"/>
      <w:r w:rsidRPr="00A86781">
        <w:rPr>
          <w:rFonts w:ascii="Times New Roman" w:eastAsia="Times New Roman" w:hAnsi="Times New Roman" w:cs="Times New Roman"/>
          <w:sz w:val="24"/>
          <w:szCs w:val="24"/>
        </w:rPr>
        <w:t>ventilatory</w:t>
      </w:r>
      <w:proofErr w:type="spellEnd"/>
      <w:r w:rsidRPr="00A86781">
        <w:rPr>
          <w:rFonts w:ascii="Times New Roman" w:eastAsia="Times New Roman" w:hAnsi="Times New Roman" w:cs="Times New Roman"/>
          <w:sz w:val="24"/>
          <w:szCs w:val="24"/>
        </w:rPr>
        <w:t xml:space="preserve"> status, demonstrated improvement in oxygenation parameters by day 3 (after TPE #2). This contrasts with the data from a similar group of patients treated with </w:t>
      </w:r>
      <w:proofErr w:type="spellStart"/>
      <w:r w:rsidRPr="00A86781">
        <w:rPr>
          <w:rFonts w:ascii="Times New Roman" w:eastAsia="Times New Roman" w:hAnsi="Times New Roman" w:cs="Times New Roman"/>
          <w:sz w:val="24"/>
          <w:szCs w:val="24"/>
        </w:rPr>
        <w:t>Tocilizumab</w:t>
      </w:r>
      <w:proofErr w:type="spellEnd"/>
      <w:r w:rsidRPr="00A86781">
        <w:rPr>
          <w:rFonts w:ascii="Times New Roman" w:eastAsia="Times New Roman" w:hAnsi="Times New Roman" w:cs="Times New Roman"/>
          <w:sz w:val="24"/>
          <w:szCs w:val="24"/>
        </w:rPr>
        <w:t xml:space="preserve"> in the setting of COVID-19 related CRS who worsened clinicall</w:t>
      </w:r>
      <w:r w:rsidR="00C02078">
        <w:rPr>
          <w:rFonts w:ascii="Times New Roman" w:eastAsia="Times New Roman" w:hAnsi="Times New Roman" w:cs="Times New Roman"/>
          <w:sz w:val="24"/>
          <w:szCs w:val="24"/>
        </w:rPr>
        <w:t>y over the course of treatment.</w:t>
      </w:r>
    </w:p>
    <w:p w:rsidR="00A86781" w:rsidRPr="00A86781" w:rsidRDefault="00A86781" w:rsidP="00A86781">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lastRenderedPageBreak/>
        <w:t>The assessment of oxygenation status and thus improvement in the setting of ARDS is complex. We herein report data measured by the commonly used P/F ratio and by the OI which has been shown to reflect patient status more accurately by accounti</w:t>
      </w:r>
      <w:r w:rsidR="00C02078">
        <w:rPr>
          <w:rFonts w:ascii="Times New Roman" w:eastAsia="Times New Roman" w:hAnsi="Times New Roman" w:cs="Times New Roman"/>
          <w:sz w:val="24"/>
          <w:szCs w:val="24"/>
        </w:rPr>
        <w:t>ng for the high levels of PEEP.</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Regardless, as reflected in </w:t>
      </w:r>
      <w:hyperlink r:id="rId20" w:anchor="tbl2" w:history="1">
        <w:r w:rsidRPr="00A86781">
          <w:rPr>
            <w:rFonts w:ascii="Times New Roman" w:eastAsia="Times New Roman" w:hAnsi="Times New Roman" w:cs="Times New Roman"/>
            <w:color w:val="005789"/>
            <w:sz w:val="24"/>
            <w:szCs w:val="24"/>
          </w:rPr>
          <w:t>Table 2</w:t>
        </w:r>
      </w:hyperlink>
      <w:r w:rsidRPr="00A86781">
        <w:rPr>
          <w:rFonts w:ascii="Times New Roman" w:eastAsia="Times New Roman" w:hAnsi="Times New Roman" w:cs="Times New Roman"/>
          <w:sz w:val="24"/>
          <w:szCs w:val="24"/>
        </w:rPr>
        <w:t xml:space="preserve">, five of six ventilated patients exhibited a trend of improving oxygenation by day 3 with rapid </w:t>
      </w:r>
      <w:proofErr w:type="spellStart"/>
      <w:r w:rsidRPr="00A86781">
        <w:rPr>
          <w:rFonts w:ascii="Times New Roman" w:eastAsia="Times New Roman" w:hAnsi="Times New Roman" w:cs="Times New Roman"/>
          <w:sz w:val="24"/>
          <w:szCs w:val="24"/>
        </w:rPr>
        <w:t>extubation</w:t>
      </w:r>
      <w:proofErr w:type="spellEnd"/>
      <w:r w:rsidRPr="00A86781">
        <w:rPr>
          <w:rFonts w:ascii="Times New Roman" w:eastAsia="Times New Roman" w:hAnsi="Times New Roman" w:cs="Times New Roman"/>
          <w:sz w:val="24"/>
          <w:szCs w:val="24"/>
        </w:rPr>
        <w:t xml:space="preserve"> possible in two. The findings were similarly striking for non-ventilated patients as all were free of supplemental oxygen at a mean of 5.3 days.</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No patients died at the 14-day mark which is noteworthy considering the severity of our cohort. In the ACTT-1 trial, the 14-day mortality with </w:t>
      </w:r>
      <w:proofErr w:type="spellStart"/>
      <w:r w:rsidRPr="00A86781">
        <w:rPr>
          <w:rFonts w:ascii="Times New Roman" w:eastAsia="Times New Roman" w:hAnsi="Times New Roman" w:cs="Times New Roman"/>
          <w:sz w:val="24"/>
          <w:szCs w:val="24"/>
        </w:rPr>
        <w:t>remdesivir</w:t>
      </w:r>
      <w:proofErr w:type="spellEnd"/>
      <w:r w:rsidRPr="00A86781">
        <w:rPr>
          <w:rFonts w:ascii="Times New Roman" w:eastAsia="Times New Roman" w:hAnsi="Times New Roman" w:cs="Times New Roman"/>
          <w:sz w:val="24"/>
          <w:szCs w:val="24"/>
        </w:rPr>
        <w:t xml:space="preserve"> was 7.1% co</w:t>
      </w:r>
      <w:r w:rsidR="00C02078">
        <w:rPr>
          <w:rFonts w:ascii="Times New Roman" w:eastAsia="Times New Roman" w:hAnsi="Times New Roman" w:cs="Times New Roman"/>
          <w:sz w:val="24"/>
          <w:szCs w:val="24"/>
        </w:rPr>
        <w:t xml:space="preserve">mpared with 11.9% with placebo. </w:t>
      </w:r>
      <w:r w:rsidRPr="00A86781">
        <w:rPr>
          <w:rFonts w:ascii="Times New Roman" w:eastAsia="Times New Roman" w:hAnsi="Times New Roman" w:cs="Times New Roman"/>
          <w:sz w:val="24"/>
          <w:szCs w:val="24"/>
        </w:rPr>
        <w:t xml:space="preserve">In the </w:t>
      </w:r>
      <w:proofErr w:type="spellStart"/>
      <w:r w:rsidRPr="00A86781">
        <w:rPr>
          <w:rFonts w:ascii="Times New Roman" w:eastAsia="Times New Roman" w:hAnsi="Times New Roman" w:cs="Times New Roman"/>
          <w:sz w:val="24"/>
          <w:szCs w:val="24"/>
        </w:rPr>
        <w:t>tocilizumab</w:t>
      </w:r>
      <w:proofErr w:type="spellEnd"/>
      <w:r w:rsidRPr="00A86781">
        <w:rPr>
          <w:rFonts w:ascii="Times New Roman" w:eastAsia="Times New Roman" w:hAnsi="Times New Roman" w:cs="Times New Roman"/>
          <w:sz w:val="24"/>
          <w:szCs w:val="24"/>
        </w:rPr>
        <w:t xml:space="preserve"> trial, the mortality rate of a</w:t>
      </w:r>
      <w:r w:rsidR="00C02078">
        <w:rPr>
          <w:rFonts w:ascii="Times New Roman" w:eastAsia="Times New Roman" w:hAnsi="Times New Roman" w:cs="Times New Roman"/>
          <w:sz w:val="24"/>
          <w:szCs w:val="24"/>
        </w:rPr>
        <w:t xml:space="preserve">ll patients was 14% at 14 days. </w:t>
      </w:r>
      <w:r w:rsidRPr="00A86781">
        <w:rPr>
          <w:rFonts w:ascii="Times New Roman" w:eastAsia="Times New Roman" w:hAnsi="Times New Roman" w:cs="Times New Roman"/>
          <w:sz w:val="24"/>
          <w:szCs w:val="24"/>
        </w:rPr>
        <w:t>Mortality in patients with COVID-19 who require mechanical ventilation is high with reports from 35</w:t>
      </w:r>
      <w:r w:rsidR="00C02078">
        <w:rPr>
          <w:rFonts w:ascii="Times New Roman" w:eastAsia="Times New Roman" w:hAnsi="Times New Roman" w:cs="Times New Roman"/>
          <w:sz w:val="24"/>
          <w:szCs w:val="24"/>
        </w:rPr>
        <w:t xml:space="preserve">.7% in a U.S. based population </w:t>
      </w:r>
      <w:r w:rsidRPr="00A86781">
        <w:rPr>
          <w:rFonts w:ascii="Times New Roman" w:eastAsia="Times New Roman" w:hAnsi="Times New Roman" w:cs="Times New Roman"/>
          <w:sz w:val="24"/>
          <w:szCs w:val="24"/>
        </w:rPr>
        <w:t xml:space="preserve">to 97% </w:t>
      </w:r>
      <w:r w:rsidR="00C02078">
        <w:rPr>
          <w:rFonts w:ascii="Times New Roman" w:eastAsia="Times New Roman" w:hAnsi="Times New Roman" w:cs="Times New Roman"/>
          <w:sz w:val="24"/>
          <w:szCs w:val="24"/>
        </w:rPr>
        <w:t xml:space="preserve">in the original Wuhan outbreak. </w:t>
      </w:r>
      <w:r w:rsidRPr="00A86781">
        <w:rPr>
          <w:rFonts w:ascii="Times New Roman" w:eastAsia="Times New Roman" w:hAnsi="Times New Roman" w:cs="Times New Roman"/>
          <w:sz w:val="24"/>
          <w:szCs w:val="24"/>
        </w:rPr>
        <w:t>While our sample size is small, our results demonstrate a signal of remarkable improvement in a critically ill patient cohort and should be further evaluated to determine if the results are reproducible.</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The lack of safety issues was reassuring but remains in need of further validation. No bleeding complications were noted. The development of positive serology for COVID-19 and its persistence were evident in all but one severely immunocompromised patient. We chose 5% albumin as the replacement fluid as coagulation factor deficiency was not evident by laboratory screening or clinical assessment. Its successful use addresses </w:t>
      </w:r>
      <w:r w:rsidR="00C02078">
        <w:rPr>
          <w:rFonts w:ascii="Times New Roman" w:eastAsia="Times New Roman" w:hAnsi="Times New Roman" w:cs="Times New Roman"/>
          <w:sz w:val="24"/>
          <w:szCs w:val="24"/>
        </w:rPr>
        <w:t xml:space="preserve">the admonition by Stahl et al. </w:t>
      </w:r>
      <w:r w:rsidRPr="00A86781">
        <w:rPr>
          <w:rFonts w:ascii="Times New Roman" w:eastAsia="Times New Roman" w:hAnsi="Times New Roman" w:cs="Times New Roman"/>
          <w:sz w:val="24"/>
          <w:szCs w:val="24"/>
        </w:rPr>
        <w:t>regarding potential exhaustion of blood bank reserves.</w:t>
      </w:r>
    </w:p>
    <w:p w:rsidR="00C02078"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The molecular mapping in this trial was intensive with CRP and all six cytokines assessed 20 times per patient within a 14-day period. All ten patients demonstrated a reduction in CRP, IL-6, IL-10 and TNFα by completion of the second TPE in temporal synchrony with all ten patients demonstrating an improvement in oxygenation by day three. Regarding IL-6, some investigators have emphas</w:t>
      </w:r>
      <w:r w:rsidR="00C02078">
        <w:rPr>
          <w:rFonts w:ascii="Times New Roman" w:eastAsia="Times New Roman" w:hAnsi="Times New Roman" w:cs="Times New Roman"/>
          <w:sz w:val="24"/>
          <w:szCs w:val="24"/>
        </w:rPr>
        <w:t xml:space="preserve">ized its “king pin” importance </w:t>
      </w:r>
      <w:r w:rsidRPr="00A86781">
        <w:rPr>
          <w:rFonts w:ascii="Times New Roman" w:eastAsia="Times New Roman" w:hAnsi="Times New Roman" w:cs="Times New Roman"/>
          <w:sz w:val="24"/>
          <w:szCs w:val="24"/>
        </w:rPr>
        <w:t>while others are dismissive</w:t>
      </w:r>
      <w:r w:rsidR="00C02078">
        <w:rPr>
          <w:rFonts w:ascii="Times New Roman" w:eastAsia="Times New Roman" w:hAnsi="Times New Roman" w:cs="Times New Roman"/>
          <w:sz w:val="24"/>
          <w:szCs w:val="24"/>
        </w:rPr>
        <w:t>.</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We await clear incrimination of IL-6 specifically or cytokines in general as opposed to being markers functioning as epiphenomenal surrogates. Our results are at least consistent with other reports that suggest IL-6 is a significant molec</w:t>
      </w:r>
      <w:r w:rsidR="00C02078">
        <w:rPr>
          <w:rFonts w:ascii="Times New Roman" w:eastAsia="Times New Roman" w:hAnsi="Times New Roman" w:cs="Times New Roman"/>
          <w:sz w:val="24"/>
          <w:szCs w:val="24"/>
        </w:rPr>
        <w:t xml:space="preserve">ular mediator of CRS. </w:t>
      </w:r>
      <w:r w:rsidRPr="00A86781">
        <w:rPr>
          <w:rFonts w:ascii="Times New Roman" w:eastAsia="Times New Roman" w:hAnsi="Times New Roman" w:cs="Times New Roman"/>
          <w:sz w:val="24"/>
          <w:szCs w:val="24"/>
        </w:rPr>
        <w:t xml:space="preserve">Interpretation of these values along with low levels of </w:t>
      </w:r>
      <w:proofErr w:type="spellStart"/>
      <w:r w:rsidRPr="00A86781">
        <w:rPr>
          <w:rFonts w:ascii="Times New Roman" w:eastAsia="Times New Roman" w:hAnsi="Times New Roman" w:cs="Times New Roman"/>
          <w:sz w:val="24"/>
          <w:szCs w:val="24"/>
        </w:rPr>
        <w:t>IFNγ</w:t>
      </w:r>
      <w:proofErr w:type="spellEnd"/>
      <w:r w:rsidRPr="00A86781">
        <w:rPr>
          <w:rFonts w:ascii="Times New Roman" w:eastAsia="Times New Roman" w:hAnsi="Times New Roman" w:cs="Times New Roman"/>
          <w:sz w:val="24"/>
          <w:szCs w:val="24"/>
        </w:rPr>
        <w:t xml:space="preserve"> and GM-CSF remains conjectural as serum levels may be a poor reflection of extravascular, tissue centric levels. Of note, our definition of clinical benefit was a “hard stop” without nuance. Patients were either free of supplemental oxygen, </w:t>
      </w:r>
      <w:proofErr w:type="spellStart"/>
      <w:r w:rsidRPr="00A86781">
        <w:rPr>
          <w:rFonts w:ascii="Times New Roman" w:eastAsia="Times New Roman" w:hAnsi="Times New Roman" w:cs="Times New Roman"/>
          <w:sz w:val="24"/>
          <w:szCs w:val="24"/>
        </w:rPr>
        <w:t>extubated</w:t>
      </w:r>
      <w:proofErr w:type="spellEnd"/>
      <w:r w:rsidRPr="00A86781">
        <w:rPr>
          <w:rFonts w:ascii="Times New Roman" w:eastAsia="Times New Roman" w:hAnsi="Times New Roman" w:cs="Times New Roman"/>
          <w:sz w:val="24"/>
          <w:szCs w:val="24"/>
        </w:rPr>
        <w:t xml:space="preserve"> or were not.</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IL-10 is commonly regarded as an anti-inflammatory cytokine of </w:t>
      </w:r>
      <w:proofErr w:type="spellStart"/>
      <w:r w:rsidRPr="00A86781">
        <w:rPr>
          <w:rFonts w:ascii="Times New Roman" w:eastAsia="Times New Roman" w:hAnsi="Times New Roman" w:cs="Times New Roman"/>
          <w:sz w:val="24"/>
          <w:szCs w:val="24"/>
        </w:rPr>
        <w:t>monocytic</w:t>
      </w:r>
      <w:proofErr w:type="spellEnd"/>
      <w:r w:rsidRPr="00A86781">
        <w:rPr>
          <w:rFonts w:ascii="Times New Roman" w:eastAsia="Times New Roman" w:hAnsi="Times New Roman" w:cs="Times New Roman"/>
          <w:sz w:val="24"/>
          <w:szCs w:val="24"/>
        </w:rPr>
        <w:t xml:space="preserve"> and other lineage production, likely playing a broader role in </w:t>
      </w:r>
      <w:proofErr w:type="spellStart"/>
      <w:r w:rsidRPr="00A86781">
        <w:rPr>
          <w:rFonts w:ascii="Times New Roman" w:eastAsia="Times New Roman" w:hAnsi="Times New Roman" w:cs="Times New Roman"/>
          <w:sz w:val="24"/>
          <w:szCs w:val="24"/>
        </w:rPr>
        <w:t>immunoregulation</w:t>
      </w:r>
      <w:proofErr w:type="spellEnd"/>
      <w:r w:rsidRPr="00A86781">
        <w:rPr>
          <w:rFonts w:ascii="Times New Roman" w:eastAsia="Times New Roman" w:hAnsi="Times New Roman" w:cs="Times New Roman"/>
          <w:sz w:val="24"/>
          <w:szCs w:val="24"/>
        </w:rPr>
        <w:t xml:space="preserve"> as well as within the inflammatory cascade. IL-10's molecular weight of 18 </w:t>
      </w:r>
      <w:proofErr w:type="spellStart"/>
      <w:r w:rsidRPr="00A86781">
        <w:rPr>
          <w:rFonts w:ascii="Times New Roman" w:eastAsia="Times New Roman" w:hAnsi="Times New Roman" w:cs="Times New Roman"/>
          <w:sz w:val="24"/>
          <w:szCs w:val="24"/>
        </w:rPr>
        <w:t>kDa</w:t>
      </w:r>
      <w:proofErr w:type="spellEnd"/>
      <w:r w:rsidRPr="00A86781">
        <w:rPr>
          <w:rFonts w:ascii="Times New Roman" w:eastAsia="Times New Roman" w:hAnsi="Times New Roman" w:cs="Times New Roman"/>
          <w:sz w:val="24"/>
          <w:szCs w:val="24"/>
        </w:rPr>
        <w:t xml:space="preserve"> is less than optimal for removal but did undergo significant reduction by conclusion of the second TPE, fifth TPE and was persistently reduced at day 14. The depletion of a cytokine that may play a role in attenuating the CRS is of theoretical concern.</w:t>
      </w:r>
    </w:p>
    <w:p w:rsidR="00A86781" w:rsidRPr="00A86781" w:rsidRDefault="00A86781" w:rsidP="00C02078">
      <w:pPr>
        <w:spacing w:after="0"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There were no </w:t>
      </w:r>
      <w:proofErr w:type="spellStart"/>
      <w:r w:rsidRPr="00A86781">
        <w:rPr>
          <w:rFonts w:ascii="Times New Roman" w:eastAsia="Times New Roman" w:hAnsi="Times New Roman" w:cs="Times New Roman"/>
          <w:sz w:val="24"/>
          <w:szCs w:val="24"/>
        </w:rPr>
        <w:t>hypercoagulable</w:t>
      </w:r>
      <w:proofErr w:type="spellEnd"/>
      <w:r w:rsidRPr="00A86781">
        <w:rPr>
          <w:rFonts w:ascii="Times New Roman" w:eastAsia="Times New Roman" w:hAnsi="Times New Roman" w:cs="Times New Roman"/>
          <w:sz w:val="24"/>
          <w:szCs w:val="24"/>
        </w:rPr>
        <w:t xml:space="preserve"> events despite the high thrombotic risk in severe COVID-19 patients. The role of the endothelium in COVID-19 systemic inflammatory excess as both victim and villain remains min</w:t>
      </w:r>
      <w:r w:rsidR="00C02078">
        <w:rPr>
          <w:rFonts w:ascii="Times New Roman" w:eastAsia="Times New Roman" w:hAnsi="Times New Roman" w:cs="Times New Roman"/>
          <w:sz w:val="24"/>
          <w:szCs w:val="24"/>
        </w:rPr>
        <w:t xml:space="preserve">imally explored. </w:t>
      </w:r>
      <w:proofErr w:type="spellStart"/>
      <w:r w:rsidR="00C02078">
        <w:rPr>
          <w:rFonts w:ascii="Times New Roman" w:eastAsia="Times New Roman" w:hAnsi="Times New Roman" w:cs="Times New Roman"/>
          <w:sz w:val="24"/>
          <w:szCs w:val="24"/>
        </w:rPr>
        <w:t>Goshua</w:t>
      </w:r>
      <w:proofErr w:type="spellEnd"/>
      <w:r w:rsidR="00C02078">
        <w:rPr>
          <w:rFonts w:ascii="Times New Roman" w:eastAsia="Times New Roman" w:hAnsi="Times New Roman" w:cs="Times New Roman"/>
          <w:sz w:val="24"/>
          <w:szCs w:val="24"/>
        </w:rPr>
        <w:t xml:space="preserve"> et al. </w:t>
      </w:r>
      <w:bookmarkStart w:id="0" w:name="_GoBack"/>
      <w:bookmarkEnd w:id="0"/>
      <w:r w:rsidRPr="00A86781">
        <w:rPr>
          <w:rFonts w:ascii="Times New Roman" w:eastAsia="Times New Roman" w:hAnsi="Times New Roman" w:cs="Times New Roman"/>
          <w:sz w:val="24"/>
          <w:szCs w:val="24"/>
        </w:rPr>
        <w:t xml:space="preserve">assessed markers of endothelial cell and platelet activation across a spectrum of COVID-19 disease severity and reported increased levels of von </w:t>
      </w:r>
      <w:proofErr w:type="spellStart"/>
      <w:r w:rsidRPr="00A86781">
        <w:rPr>
          <w:rFonts w:ascii="Times New Roman" w:eastAsia="Times New Roman" w:hAnsi="Times New Roman" w:cs="Times New Roman"/>
          <w:sz w:val="24"/>
          <w:szCs w:val="24"/>
        </w:rPr>
        <w:t>Willebrand</w:t>
      </w:r>
      <w:proofErr w:type="spellEnd"/>
      <w:r w:rsidRPr="00A86781">
        <w:rPr>
          <w:rFonts w:ascii="Times New Roman" w:eastAsia="Times New Roman" w:hAnsi="Times New Roman" w:cs="Times New Roman"/>
          <w:sz w:val="24"/>
          <w:szCs w:val="24"/>
        </w:rPr>
        <w:t xml:space="preserve"> factor (VWF) antigen, soluble P antigen and soluble </w:t>
      </w:r>
      <w:proofErr w:type="spellStart"/>
      <w:r w:rsidRPr="00A86781">
        <w:rPr>
          <w:rFonts w:ascii="Times New Roman" w:eastAsia="Times New Roman" w:hAnsi="Times New Roman" w:cs="Times New Roman"/>
          <w:sz w:val="24"/>
          <w:szCs w:val="24"/>
        </w:rPr>
        <w:t>thrombomodulin</w:t>
      </w:r>
      <w:proofErr w:type="spellEnd"/>
      <w:r w:rsidRPr="00A86781">
        <w:rPr>
          <w:rFonts w:ascii="Times New Roman" w:eastAsia="Times New Roman" w:hAnsi="Times New Roman" w:cs="Times New Roman"/>
          <w:sz w:val="24"/>
          <w:szCs w:val="24"/>
        </w:rPr>
        <w:t>. These markers are excellent candidates to be removed via TPE and remain a plausible explanation of the efficacy of TPE.</w:t>
      </w:r>
    </w:p>
    <w:p w:rsidR="00A86781" w:rsidRPr="00A86781" w:rsidRDefault="00A86781" w:rsidP="00A86781">
      <w:pPr>
        <w:spacing w:before="825" w:after="300" w:line="240" w:lineRule="auto"/>
        <w:outlineLvl w:val="1"/>
        <w:rPr>
          <w:rFonts w:ascii="Times New Roman" w:eastAsia="Times New Roman" w:hAnsi="Times New Roman" w:cs="Times New Roman"/>
          <w:b/>
          <w:bCs/>
          <w:sz w:val="36"/>
          <w:szCs w:val="36"/>
        </w:rPr>
      </w:pPr>
      <w:r w:rsidRPr="00A86781">
        <w:rPr>
          <w:rFonts w:ascii="Times New Roman" w:eastAsia="Times New Roman" w:hAnsi="Times New Roman" w:cs="Times New Roman"/>
          <w:b/>
          <w:bCs/>
          <w:sz w:val="36"/>
          <w:szCs w:val="36"/>
        </w:rPr>
        <w:lastRenderedPageBreak/>
        <w:t>5. Conclusions</w:t>
      </w:r>
    </w:p>
    <w:p w:rsidR="00A86781" w:rsidRPr="00A86781" w:rsidRDefault="00A86781" w:rsidP="00A86781">
      <w:pPr>
        <w:spacing w:line="240" w:lineRule="auto"/>
        <w:rPr>
          <w:rFonts w:ascii="Times New Roman" w:eastAsia="Times New Roman" w:hAnsi="Times New Roman" w:cs="Times New Roman"/>
          <w:sz w:val="24"/>
          <w:szCs w:val="24"/>
        </w:rPr>
      </w:pPr>
      <w:r w:rsidRPr="00A86781">
        <w:rPr>
          <w:rFonts w:ascii="Times New Roman" w:eastAsia="Times New Roman" w:hAnsi="Times New Roman" w:cs="Times New Roman"/>
          <w:sz w:val="24"/>
          <w:szCs w:val="24"/>
        </w:rPr>
        <w:t xml:space="preserve">We chose to publish this pilot study in the spirit of rapid communication. In the absence of definitive drug treatment or vaccination, the value of TPE should be further explored for validation and delineation of the optimal intensity and periodicity of the procedure. Should subsequent studies confirm the clinical benefit, TPE would rise to a truly meaningful therapeutic intervention employing a procedure that remains untapped and underutilized amidst a raging pandemic but ironically available throughout the world and without need for expensive upgrades to deploy. The timing of this prospective trial, early in the pandemic, allowed for freedom from confounding treatments with antiviral and anti-inflammatory agents that could have altered laboratory findings. This study is the first to report on the development and preservation of immune response to COVID-19 in patients undergoing TPE. The clinical benefit as portrayed by the cytokine panel was equally reflected through the measurement of CRP, which is universally available and more cost effective. Finally, the CRS complicating COVID-19 provides an unforeseen opportunity to define the molecular orchestration likely shared in part by </w:t>
      </w:r>
      <w:proofErr w:type="spellStart"/>
      <w:r w:rsidRPr="00A86781">
        <w:rPr>
          <w:rFonts w:ascii="Times New Roman" w:eastAsia="Times New Roman" w:hAnsi="Times New Roman" w:cs="Times New Roman"/>
          <w:sz w:val="24"/>
          <w:szCs w:val="24"/>
        </w:rPr>
        <w:t>sHLH</w:t>
      </w:r>
      <w:proofErr w:type="spellEnd"/>
      <w:r w:rsidRPr="00A86781">
        <w:rPr>
          <w:rFonts w:ascii="Times New Roman" w:eastAsia="Times New Roman" w:hAnsi="Times New Roman" w:cs="Times New Roman"/>
          <w:sz w:val="24"/>
          <w:szCs w:val="24"/>
        </w:rPr>
        <w:t xml:space="preserve"> and possibly ARDS and is certainly timely given the anticipated surge in incidence as CAR-T therapy and additional generations of T-cell engagement therapies unfold.</w:t>
      </w:r>
    </w:p>
    <w:p w:rsidR="00A86781" w:rsidRDefault="00A86781"/>
    <w:sectPr w:rsidR="00A86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27C90"/>
    <w:multiLevelType w:val="multilevel"/>
    <w:tmpl w:val="D132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A4E5E"/>
    <w:multiLevelType w:val="multilevel"/>
    <w:tmpl w:val="782A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24F4A"/>
    <w:multiLevelType w:val="multilevel"/>
    <w:tmpl w:val="25AA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81"/>
    <w:rsid w:val="007A7558"/>
    <w:rsid w:val="00965EBD"/>
    <w:rsid w:val="00A86781"/>
    <w:rsid w:val="00C0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2383"/>
  <w15:chartTrackingRefBased/>
  <w15:docId w15:val="{586621AE-F4B2-44E1-B7DD-AB55B3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7973">
      <w:bodyDiv w:val="1"/>
      <w:marLeft w:val="0"/>
      <w:marRight w:val="0"/>
      <w:marTop w:val="0"/>
      <w:marBottom w:val="0"/>
      <w:divBdr>
        <w:top w:val="none" w:sz="0" w:space="0" w:color="auto"/>
        <w:left w:val="none" w:sz="0" w:space="0" w:color="auto"/>
        <w:bottom w:val="none" w:sz="0" w:space="0" w:color="auto"/>
        <w:right w:val="none" w:sz="0" w:space="0" w:color="auto"/>
      </w:divBdr>
      <w:divsChild>
        <w:div w:id="307780610">
          <w:marLeft w:val="0"/>
          <w:marRight w:val="0"/>
          <w:marTop w:val="450"/>
          <w:marBottom w:val="240"/>
          <w:divBdr>
            <w:top w:val="none" w:sz="0" w:space="0" w:color="auto"/>
            <w:left w:val="none" w:sz="0" w:space="0" w:color="auto"/>
            <w:bottom w:val="none" w:sz="0" w:space="0" w:color="auto"/>
            <w:right w:val="none" w:sz="0" w:space="0" w:color="auto"/>
          </w:divBdr>
        </w:div>
      </w:divsChild>
    </w:div>
    <w:div w:id="624696692">
      <w:bodyDiv w:val="1"/>
      <w:marLeft w:val="0"/>
      <w:marRight w:val="0"/>
      <w:marTop w:val="0"/>
      <w:marBottom w:val="0"/>
      <w:divBdr>
        <w:top w:val="none" w:sz="0" w:space="0" w:color="auto"/>
        <w:left w:val="none" w:sz="0" w:space="0" w:color="auto"/>
        <w:bottom w:val="none" w:sz="0" w:space="0" w:color="auto"/>
        <w:right w:val="none" w:sz="0" w:space="0" w:color="auto"/>
      </w:divBdr>
      <w:divsChild>
        <w:div w:id="1227454166">
          <w:marLeft w:val="0"/>
          <w:marRight w:val="0"/>
          <w:marTop w:val="150"/>
          <w:marBottom w:val="270"/>
          <w:divBdr>
            <w:top w:val="none" w:sz="0" w:space="0" w:color="auto"/>
            <w:left w:val="none" w:sz="0" w:space="0" w:color="auto"/>
            <w:bottom w:val="none" w:sz="0" w:space="0" w:color="auto"/>
            <w:right w:val="none" w:sz="0" w:space="0" w:color="auto"/>
          </w:divBdr>
          <w:divsChild>
            <w:div w:id="75131603">
              <w:marLeft w:val="0"/>
              <w:marRight w:val="0"/>
              <w:marTop w:val="0"/>
              <w:marBottom w:val="0"/>
              <w:divBdr>
                <w:top w:val="none" w:sz="0" w:space="0" w:color="auto"/>
                <w:left w:val="none" w:sz="0" w:space="0" w:color="auto"/>
                <w:bottom w:val="none" w:sz="0" w:space="0" w:color="auto"/>
                <w:right w:val="none" w:sz="0" w:space="0" w:color="auto"/>
              </w:divBdr>
              <w:divsChild>
                <w:div w:id="449009870">
                  <w:marLeft w:val="0"/>
                  <w:marRight w:val="0"/>
                  <w:marTop w:val="405"/>
                  <w:marBottom w:val="375"/>
                  <w:divBdr>
                    <w:top w:val="single" w:sz="6" w:space="0" w:color="C0C0C0"/>
                    <w:left w:val="none" w:sz="0" w:space="0" w:color="auto"/>
                    <w:bottom w:val="single" w:sz="6" w:space="0" w:color="C0C0C0"/>
                    <w:right w:val="none" w:sz="0" w:space="0" w:color="auto"/>
                  </w:divBdr>
                  <w:divsChild>
                    <w:div w:id="1527450338">
                      <w:marLeft w:val="0"/>
                      <w:marRight w:val="0"/>
                      <w:marTop w:val="450"/>
                      <w:marBottom w:val="240"/>
                      <w:divBdr>
                        <w:top w:val="none" w:sz="0" w:space="0" w:color="auto"/>
                        <w:left w:val="none" w:sz="0" w:space="0" w:color="auto"/>
                        <w:bottom w:val="none" w:sz="0" w:space="0" w:color="auto"/>
                        <w:right w:val="none" w:sz="0" w:space="0" w:color="auto"/>
                      </w:divBdr>
                    </w:div>
                    <w:div w:id="1122962725">
                      <w:marLeft w:val="0"/>
                      <w:marRight w:val="0"/>
                      <w:marTop w:val="0"/>
                      <w:marBottom w:val="0"/>
                      <w:divBdr>
                        <w:top w:val="none" w:sz="0" w:space="0" w:color="auto"/>
                        <w:left w:val="none" w:sz="0" w:space="0" w:color="auto"/>
                        <w:bottom w:val="none" w:sz="0" w:space="0" w:color="auto"/>
                        <w:right w:val="none" w:sz="0" w:space="0" w:color="auto"/>
                      </w:divBdr>
                      <w:divsChild>
                        <w:div w:id="462314976">
                          <w:marLeft w:val="0"/>
                          <w:marRight w:val="0"/>
                          <w:marTop w:val="0"/>
                          <w:marBottom w:val="0"/>
                          <w:divBdr>
                            <w:top w:val="none" w:sz="0" w:space="0" w:color="auto"/>
                            <w:left w:val="none" w:sz="0" w:space="0" w:color="auto"/>
                            <w:bottom w:val="none" w:sz="0" w:space="0" w:color="auto"/>
                            <w:right w:val="none" w:sz="0" w:space="0" w:color="auto"/>
                          </w:divBdr>
                        </w:div>
                      </w:divsChild>
                    </w:div>
                    <w:div w:id="1618177479">
                      <w:marLeft w:val="0"/>
                      <w:marRight w:val="0"/>
                      <w:marTop w:val="180"/>
                      <w:marBottom w:val="450"/>
                      <w:divBdr>
                        <w:top w:val="none" w:sz="0" w:space="0" w:color="auto"/>
                        <w:left w:val="none" w:sz="0" w:space="0" w:color="auto"/>
                        <w:bottom w:val="none" w:sz="0" w:space="0" w:color="auto"/>
                        <w:right w:val="none" w:sz="0" w:space="0" w:color="auto"/>
                      </w:divBdr>
                      <w:divsChild>
                        <w:div w:id="13489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14215">
      <w:bodyDiv w:val="1"/>
      <w:marLeft w:val="0"/>
      <w:marRight w:val="0"/>
      <w:marTop w:val="0"/>
      <w:marBottom w:val="0"/>
      <w:divBdr>
        <w:top w:val="none" w:sz="0" w:space="0" w:color="auto"/>
        <w:left w:val="none" w:sz="0" w:space="0" w:color="auto"/>
        <w:bottom w:val="none" w:sz="0" w:space="0" w:color="auto"/>
        <w:right w:val="none" w:sz="0" w:space="0" w:color="auto"/>
      </w:divBdr>
      <w:divsChild>
        <w:div w:id="2082940423">
          <w:marLeft w:val="0"/>
          <w:marRight w:val="0"/>
          <w:marTop w:val="150"/>
          <w:marBottom w:val="270"/>
          <w:divBdr>
            <w:top w:val="none" w:sz="0" w:space="0" w:color="auto"/>
            <w:left w:val="none" w:sz="0" w:space="0" w:color="auto"/>
            <w:bottom w:val="none" w:sz="0" w:space="0" w:color="auto"/>
            <w:right w:val="none" w:sz="0" w:space="0" w:color="auto"/>
          </w:divBdr>
          <w:divsChild>
            <w:div w:id="764688452">
              <w:marLeft w:val="0"/>
              <w:marRight w:val="0"/>
              <w:marTop w:val="0"/>
              <w:marBottom w:val="0"/>
              <w:divBdr>
                <w:top w:val="none" w:sz="0" w:space="0" w:color="auto"/>
                <w:left w:val="none" w:sz="0" w:space="0" w:color="auto"/>
                <w:bottom w:val="none" w:sz="0" w:space="0" w:color="auto"/>
                <w:right w:val="none" w:sz="0" w:space="0" w:color="auto"/>
              </w:divBdr>
            </w:div>
            <w:div w:id="523982813">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sChild>
        </w:div>
        <w:div w:id="1694721941">
          <w:marLeft w:val="0"/>
          <w:marRight w:val="0"/>
          <w:marTop w:val="150"/>
          <w:marBottom w:val="270"/>
          <w:divBdr>
            <w:top w:val="none" w:sz="0" w:space="0" w:color="auto"/>
            <w:left w:val="none" w:sz="0" w:space="0" w:color="auto"/>
            <w:bottom w:val="none" w:sz="0" w:space="0" w:color="auto"/>
            <w:right w:val="none" w:sz="0" w:space="0" w:color="auto"/>
          </w:divBdr>
          <w:divsChild>
            <w:div w:id="1759280732">
              <w:marLeft w:val="0"/>
              <w:marRight w:val="0"/>
              <w:marTop w:val="150"/>
              <w:marBottom w:val="270"/>
              <w:divBdr>
                <w:top w:val="none" w:sz="0" w:space="0" w:color="auto"/>
                <w:left w:val="none" w:sz="0" w:space="0" w:color="auto"/>
                <w:bottom w:val="none" w:sz="0" w:space="0" w:color="auto"/>
                <w:right w:val="none" w:sz="0" w:space="0" w:color="auto"/>
              </w:divBdr>
            </w:div>
            <w:div w:id="1205173400">
              <w:marLeft w:val="0"/>
              <w:marRight w:val="0"/>
              <w:marTop w:val="150"/>
              <w:marBottom w:val="270"/>
              <w:divBdr>
                <w:top w:val="none" w:sz="0" w:space="0" w:color="auto"/>
                <w:left w:val="none" w:sz="0" w:space="0" w:color="auto"/>
                <w:bottom w:val="none" w:sz="0" w:space="0" w:color="auto"/>
                <w:right w:val="none" w:sz="0" w:space="0" w:color="auto"/>
              </w:divBdr>
            </w:div>
            <w:div w:id="243338297">
              <w:marLeft w:val="0"/>
              <w:marRight w:val="0"/>
              <w:marTop w:val="150"/>
              <w:marBottom w:val="270"/>
              <w:divBdr>
                <w:top w:val="none" w:sz="0" w:space="0" w:color="auto"/>
                <w:left w:val="none" w:sz="0" w:space="0" w:color="auto"/>
                <w:bottom w:val="none" w:sz="0" w:space="0" w:color="auto"/>
                <w:right w:val="none" w:sz="0" w:space="0" w:color="auto"/>
              </w:divBdr>
            </w:div>
            <w:div w:id="1720473567">
              <w:marLeft w:val="0"/>
              <w:marRight w:val="0"/>
              <w:marTop w:val="150"/>
              <w:marBottom w:val="270"/>
              <w:divBdr>
                <w:top w:val="none" w:sz="0" w:space="0" w:color="auto"/>
                <w:left w:val="none" w:sz="0" w:space="0" w:color="auto"/>
                <w:bottom w:val="none" w:sz="0" w:space="0" w:color="auto"/>
                <w:right w:val="none" w:sz="0" w:space="0" w:color="auto"/>
              </w:divBdr>
            </w:div>
            <w:div w:id="672727806">
              <w:marLeft w:val="0"/>
              <w:marRight w:val="0"/>
              <w:marTop w:val="150"/>
              <w:marBottom w:val="270"/>
              <w:divBdr>
                <w:top w:val="none" w:sz="0" w:space="0" w:color="auto"/>
                <w:left w:val="none" w:sz="0" w:space="0" w:color="auto"/>
                <w:bottom w:val="none" w:sz="0" w:space="0" w:color="auto"/>
                <w:right w:val="none" w:sz="0" w:space="0" w:color="auto"/>
              </w:divBdr>
            </w:div>
          </w:divsChild>
        </w:div>
        <w:div w:id="305085305">
          <w:marLeft w:val="0"/>
          <w:marRight w:val="0"/>
          <w:marTop w:val="150"/>
          <w:marBottom w:val="270"/>
          <w:divBdr>
            <w:top w:val="none" w:sz="0" w:space="0" w:color="auto"/>
            <w:left w:val="none" w:sz="0" w:space="0" w:color="auto"/>
            <w:bottom w:val="none" w:sz="0" w:space="0" w:color="auto"/>
            <w:right w:val="none" w:sz="0" w:space="0" w:color="auto"/>
          </w:divBdr>
          <w:divsChild>
            <w:div w:id="1015961678">
              <w:marLeft w:val="0"/>
              <w:marRight w:val="0"/>
              <w:marTop w:val="0"/>
              <w:marBottom w:val="0"/>
              <w:divBdr>
                <w:top w:val="none" w:sz="0" w:space="0" w:color="auto"/>
                <w:left w:val="none" w:sz="0" w:space="0" w:color="auto"/>
                <w:bottom w:val="none" w:sz="0" w:space="0" w:color="auto"/>
                <w:right w:val="none" w:sz="0" w:space="0" w:color="auto"/>
              </w:divBdr>
            </w:div>
            <w:div w:id="934939521">
              <w:marLeft w:val="0"/>
              <w:marRight w:val="0"/>
              <w:marTop w:val="0"/>
              <w:marBottom w:val="0"/>
              <w:divBdr>
                <w:top w:val="none" w:sz="0" w:space="0" w:color="auto"/>
                <w:left w:val="none" w:sz="0" w:space="0" w:color="auto"/>
                <w:bottom w:val="none" w:sz="0" w:space="0" w:color="auto"/>
                <w:right w:val="none" w:sz="0" w:space="0" w:color="auto"/>
              </w:divBdr>
            </w:div>
            <w:div w:id="1522545701">
              <w:marLeft w:val="0"/>
              <w:marRight w:val="0"/>
              <w:marTop w:val="0"/>
              <w:marBottom w:val="0"/>
              <w:divBdr>
                <w:top w:val="none" w:sz="0" w:space="0" w:color="auto"/>
                <w:left w:val="none" w:sz="0" w:space="0" w:color="auto"/>
                <w:bottom w:val="none" w:sz="0" w:space="0" w:color="auto"/>
                <w:right w:val="none" w:sz="0" w:space="0" w:color="auto"/>
              </w:divBdr>
            </w:div>
          </w:divsChild>
        </w:div>
        <w:div w:id="1264074663">
          <w:marLeft w:val="0"/>
          <w:marRight w:val="0"/>
          <w:marTop w:val="150"/>
          <w:marBottom w:val="270"/>
          <w:divBdr>
            <w:top w:val="none" w:sz="0" w:space="0" w:color="auto"/>
            <w:left w:val="none" w:sz="0" w:space="0" w:color="auto"/>
            <w:bottom w:val="none" w:sz="0" w:space="0" w:color="auto"/>
            <w:right w:val="none" w:sz="0" w:space="0" w:color="auto"/>
          </w:divBdr>
          <w:divsChild>
            <w:div w:id="653068289">
              <w:marLeft w:val="0"/>
              <w:marRight w:val="0"/>
              <w:marTop w:val="0"/>
              <w:marBottom w:val="0"/>
              <w:divBdr>
                <w:top w:val="none" w:sz="0" w:space="0" w:color="auto"/>
                <w:left w:val="none" w:sz="0" w:space="0" w:color="auto"/>
                <w:bottom w:val="none" w:sz="0" w:space="0" w:color="auto"/>
                <w:right w:val="none" w:sz="0" w:space="0" w:color="auto"/>
              </w:divBdr>
            </w:div>
            <w:div w:id="646208802">
              <w:marLeft w:val="0"/>
              <w:marRight w:val="0"/>
              <w:marTop w:val="0"/>
              <w:marBottom w:val="0"/>
              <w:divBdr>
                <w:top w:val="none" w:sz="0" w:space="0" w:color="auto"/>
                <w:left w:val="none" w:sz="0" w:space="0" w:color="auto"/>
                <w:bottom w:val="none" w:sz="0" w:space="0" w:color="auto"/>
                <w:right w:val="none" w:sz="0" w:space="0" w:color="auto"/>
              </w:divBdr>
            </w:div>
            <w:div w:id="2129542546">
              <w:marLeft w:val="0"/>
              <w:marRight w:val="0"/>
              <w:marTop w:val="0"/>
              <w:marBottom w:val="0"/>
              <w:divBdr>
                <w:top w:val="none" w:sz="0" w:space="0" w:color="auto"/>
                <w:left w:val="none" w:sz="0" w:space="0" w:color="auto"/>
                <w:bottom w:val="none" w:sz="0" w:space="0" w:color="auto"/>
                <w:right w:val="none" w:sz="0" w:space="0" w:color="auto"/>
              </w:divBdr>
            </w:div>
            <w:div w:id="713429728">
              <w:marLeft w:val="0"/>
              <w:marRight w:val="0"/>
              <w:marTop w:val="0"/>
              <w:marBottom w:val="0"/>
              <w:divBdr>
                <w:top w:val="none" w:sz="0" w:space="0" w:color="auto"/>
                <w:left w:val="none" w:sz="0" w:space="0" w:color="auto"/>
                <w:bottom w:val="none" w:sz="0" w:space="0" w:color="auto"/>
                <w:right w:val="none" w:sz="0" w:space="0" w:color="auto"/>
              </w:divBdr>
            </w:div>
            <w:div w:id="438331798">
              <w:marLeft w:val="0"/>
              <w:marRight w:val="0"/>
              <w:marTop w:val="0"/>
              <w:marBottom w:val="0"/>
              <w:divBdr>
                <w:top w:val="none" w:sz="0" w:space="0" w:color="auto"/>
                <w:left w:val="none" w:sz="0" w:space="0" w:color="auto"/>
                <w:bottom w:val="none" w:sz="0" w:space="0" w:color="auto"/>
                <w:right w:val="none" w:sz="0" w:space="0" w:color="auto"/>
              </w:divBdr>
            </w:div>
          </w:divsChild>
        </w:div>
        <w:div w:id="1385104032">
          <w:marLeft w:val="0"/>
          <w:marRight w:val="0"/>
          <w:marTop w:val="150"/>
          <w:marBottom w:val="270"/>
          <w:divBdr>
            <w:top w:val="none" w:sz="0" w:space="0" w:color="auto"/>
            <w:left w:val="none" w:sz="0" w:space="0" w:color="auto"/>
            <w:bottom w:val="none" w:sz="0" w:space="0" w:color="auto"/>
            <w:right w:val="none" w:sz="0" w:space="0" w:color="auto"/>
          </w:divBdr>
          <w:divsChild>
            <w:div w:id="204025508">
              <w:marLeft w:val="0"/>
              <w:marRight w:val="0"/>
              <w:marTop w:val="0"/>
              <w:marBottom w:val="0"/>
              <w:divBdr>
                <w:top w:val="none" w:sz="0" w:space="0" w:color="auto"/>
                <w:left w:val="none" w:sz="0" w:space="0" w:color="auto"/>
                <w:bottom w:val="none" w:sz="0" w:space="0" w:color="auto"/>
                <w:right w:val="none" w:sz="0" w:space="0" w:color="auto"/>
              </w:divBdr>
            </w:div>
            <w:div w:id="1688672055">
              <w:marLeft w:val="0"/>
              <w:marRight w:val="0"/>
              <w:marTop w:val="0"/>
              <w:marBottom w:val="0"/>
              <w:divBdr>
                <w:top w:val="none" w:sz="0" w:space="0" w:color="auto"/>
                <w:left w:val="none" w:sz="0" w:space="0" w:color="auto"/>
                <w:bottom w:val="none" w:sz="0" w:space="0" w:color="auto"/>
                <w:right w:val="none" w:sz="0" w:space="0" w:color="auto"/>
              </w:divBdr>
            </w:div>
            <w:div w:id="711929779">
              <w:marLeft w:val="0"/>
              <w:marRight w:val="0"/>
              <w:marTop w:val="0"/>
              <w:marBottom w:val="0"/>
              <w:divBdr>
                <w:top w:val="none" w:sz="0" w:space="0" w:color="auto"/>
                <w:left w:val="none" w:sz="0" w:space="0" w:color="auto"/>
                <w:bottom w:val="none" w:sz="0" w:space="0" w:color="auto"/>
                <w:right w:val="none" w:sz="0" w:space="0" w:color="auto"/>
              </w:divBdr>
            </w:div>
            <w:div w:id="2139258159">
              <w:marLeft w:val="0"/>
              <w:marRight w:val="0"/>
              <w:marTop w:val="0"/>
              <w:marBottom w:val="0"/>
              <w:divBdr>
                <w:top w:val="none" w:sz="0" w:space="0" w:color="auto"/>
                <w:left w:val="none" w:sz="0" w:space="0" w:color="auto"/>
                <w:bottom w:val="none" w:sz="0" w:space="0" w:color="auto"/>
                <w:right w:val="none" w:sz="0" w:space="0" w:color="auto"/>
              </w:divBdr>
            </w:div>
            <w:div w:id="837959159">
              <w:marLeft w:val="0"/>
              <w:marRight w:val="0"/>
              <w:marTop w:val="0"/>
              <w:marBottom w:val="0"/>
              <w:divBdr>
                <w:top w:val="none" w:sz="0" w:space="0" w:color="auto"/>
                <w:left w:val="none" w:sz="0" w:space="0" w:color="auto"/>
                <w:bottom w:val="none" w:sz="0" w:space="0" w:color="auto"/>
                <w:right w:val="none" w:sz="0" w:space="0" w:color="auto"/>
              </w:divBdr>
            </w:div>
          </w:divsChild>
        </w:div>
        <w:div w:id="1797673726">
          <w:marLeft w:val="0"/>
          <w:marRight w:val="0"/>
          <w:marTop w:val="150"/>
          <w:marBottom w:val="270"/>
          <w:divBdr>
            <w:top w:val="none" w:sz="0" w:space="0" w:color="auto"/>
            <w:left w:val="none" w:sz="0" w:space="0" w:color="auto"/>
            <w:bottom w:val="none" w:sz="0" w:space="0" w:color="auto"/>
            <w:right w:val="none" w:sz="0" w:space="0" w:color="auto"/>
          </w:divBdr>
          <w:divsChild>
            <w:div w:id="1054237502">
              <w:marLeft w:val="0"/>
              <w:marRight w:val="0"/>
              <w:marTop w:val="0"/>
              <w:marBottom w:val="0"/>
              <w:divBdr>
                <w:top w:val="none" w:sz="0" w:space="0" w:color="auto"/>
                <w:left w:val="none" w:sz="0" w:space="0" w:color="auto"/>
                <w:bottom w:val="none" w:sz="0" w:space="0" w:color="auto"/>
                <w:right w:val="none" w:sz="0" w:space="0" w:color="auto"/>
              </w:divBdr>
            </w:div>
            <w:div w:id="1647390855">
              <w:marLeft w:val="0"/>
              <w:marRight w:val="0"/>
              <w:marTop w:val="0"/>
              <w:marBottom w:val="0"/>
              <w:divBdr>
                <w:top w:val="none" w:sz="0" w:space="0" w:color="auto"/>
                <w:left w:val="none" w:sz="0" w:space="0" w:color="auto"/>
                <w:bottom w:val="none" w:sz="0" w:space="0" w:color="auto"/>
                <w:right w:val="none" w:sz="0" w:space="0" w:color="auto"/>
              </w:divBdr>
            </w:div>
            <w:div w:id="1353847062">
              <w:marLeft w:val="0"/>
              <w:marRight w:val="0"/>
              <w:marTop w:val="0"/>
              <w:marBottom w:val="0"/>
              <w:divBdr>
                <w:top w:val="none" w:sz="0" w:space="0" w:color="auto"/>
                <w:left w:val="none" w:sz="0" w:space="0" w:color="auto"/>
                <w:bottom w:val="none" w:sz="0" w:space="0" w:color="auto"/>
                <w:right w:val="none" w:sz="0" w:space="0" w:color="auto"/>
              </w:divBdr>
            </w:div>
            <w:div w:id="130631874">
              <w:marLeft w:val="0"/>
              <w:marRight w:val="0"/>
              <w:marTop w:val="0"/>
              <w:marBottom w:val="0"/>
              <w:divBdr>
                <w:top w:val="none" w:sz="0" w:space="0" w:color="auto"/>
                <w:left w:val="none" w:sz="0" w:space="0" w:color="auto"/>
                <w:bottom w:val="none" w:sz="0" w:space="0" w:color="auto"/>
                <w:right w:val="none" w:sz="0" w:space="0" w:color="auto"/>
              </w:divBdr>
            </w:div>
            <w:div w:id="1673140312">
              <w:marLeft w:val="0"/>
              <w:marRight w:val="0"/>
              <w:marTop w:val="0"/>
              <w:marBottom w:val="0"/>
              <w:divBdr>
                <w:top w:val="none" w:sz="0" w:space="0" w:color="auto"/>
                <w:left w:val="none" w:sz="0" w:space="0" w:color="auto"/>
                <w:bottom w:val="none" w:sz="0" w:space="0" w:color="auto"/>
                <w:right w:val="none" w:sz="0" w:space="0" w:color="auto"/>
              </w:divBdr>
            </w:div>
          </w:divsChild>
        </w:div>
        <w:div w:id="1029448518">
          <w:marLeft w:val="0"/>
          <w:marRight w:val="0"/>
          <w:marTop w:val="150"/>
          <w:marBottom w:val="270"/>
          <w:divBdr>
            <w:top w:val="none" w:sz="0" w:space="0" w:color="auto"/>
            <w:left w:val="none" w:sz="0" w:space="0" w:color="auto"/>
            <w:bottom w:val="none" w:sz="0" w:space="0" w:color="auto"/>
            <w:right w:val="none" w:sz="0" w:space="0" w:color="auto"/>
          </w:divBdr>
          <w:divsChild>
            <w:div w:id="1749187069">
              <w:marLeft w:val="0"/>
              <w:marRight w:val="0"/>
              <w:marTop w:val="0"/>
              <w:marBottom w:val="0"/>
              <w:divBdr>
                <w:top w:val="none" w:sz="0" w:space="0" w:color="auto"/>
                <w:left w:val="none" w:sz="0" w:space="0" w:color="auto"/>
                <w:bottom w:val="none" w:sz="0" w:space="0" w:color="auto"/>
                <w:right w:val="none" w:sz="0" w:space="0" w:color="auto"/>
              </w:divBdr>
            </w:div>
            <w:div w:id="397018507">
              <w:marLeft w:val="0"/>
              <w:marRight w:val="0"/>
              <w:marTop w:val="0"/>
              <w:marBottom w:val="0"/>
              <w:divBdr>
                <w:top w:val="none" w:sz="0" w:space="0" w:color="auto"/>
                <w:left w:val="none" w:sz="0" w:space="0" w:color="auto"/>
                <w:bottom w:val="none" w:sz="0" w:space="0" w:color="auto"/>
                <w:right w:val="none" w:sz="0" w:space="0" w:color="auto"/>
              </w:divBdr>
            </w:div>
          </w:divsChild>
        </w:div>
        <w:div w:id="323096713">
          <w:marLeft w:val="0"/>
          <w:marRight w:val="0"/>
          <w:marTop w:val="150"/>
          <w:marBottom w:val="270"/>
          <w:divBdr>
            <w:top w:val="none" w:sz="0" w:space="0" w:color="auto"/>
            <w:left w:val="none" w:sz="0" w:space="0" w:color="auto"/>
            <w:bottom w:val="none" w:sz="0" w:space="0" w:color="auto"/>
            <w:right w:val="none" w:sz="0" w:space="0" w:color="auto"/>
          </w:divBdr>
          <w:divsChild>
            <w:div w:id="1281451416">
              <w:marLeft w:val="0"/>
              <w:marRight w:val="0"/>
              <w:marTop w:val="0"/>
              <w:marBottom w:val="0"/>
              <w:divBdr>
                <w:top w:val="none" w:sz="0" w:space="0" w:color="auto"/>
                <w:left w:val="none" w:sz="0" w:space="0" w:color="auto"/>
                <w:bottom w:val="none" w:sz="0" w:space="0" w:color="auto"/>
                <w:right w:val="none" w:sz="0" w:space="0" w:color="auto"/>
              </w:divBdr>
            </w:div>
          </w:divsChild>
        </w:div>
        <w:div w:id="1445882044">
          <w:marLeft w:val="0"/>
          <w:marRight w:val="0"/>
          <w:marTop w:val="150"/>
          <w:marBottom w:val="270"/>
          <w:divBdr>
            <w:top w:val="none" w:sz="0" w:space="0" w:color="auto"/>
            <w:left w:val="none" w:sz="0" w:space="0" w:color="auto"/>
            <w:bottom w:val="none" w:sz="0" w:space="0" w:color="auto"/>
            <w:right w:val="none" w:sz="0" w:space="0" w:color="auto"/>
          </w:divBdr>
        </w:div>
        <w:div w:id="773671023">
          <w:marLeft w:val="0"/>
          <w:marRight w:val="0"/>
          <w:marTop w:val="150"/>
          <w:marBottom w:val="270"/>
          <w:divBdr>
            <w:top w:val="none" w:sz="0" w:space="0" w:color="auto"/>
            <w:left w:val="none" w:sz="0" w:space="0" w:color="auto"/>
            <w:bottom w:val="none" w:sz="0" w:space="0" w:color="auto"/>
            <w:right w:val="none" w:sz="0" w:space="0" w:color="auto"/>
          </w:divBdr>
        </w:div>
        <w:div w:id="1804303019">
          <w:marLeft w:val="0"/>
          <w:marRight w:val="0"/>
          <w:marTop w:val="150"/>
          <w:marBottom w:val="270"/>
          <w:divBdr>
            <w:top w:val="none" w:sz="0" w:space="0" w:color="auto"/>
            <w:left w:val="none" w:sz="0" w:space="0" w:color="auto"/>
            <w:bottom w:val="none" w:sz="0" w:space="0" w:color="auto"/>
            <w:right w:val="none" w:sz="0" w:space="0" w:color="auto"/>
          </w:divBdr>
        </w:div>
        <w:div w:id="804156078">
          <w:marLeft w:val="0"/>
          <w:marRight w:val="0"/>
          <w:marTop w:val="150"/>
          <w:marBottom w:val="270"/>
          <w:divBdr>
            <w:top w:val="none" w:sz="0" w:space="0" w:color="auto"/>
            <w:left w:val="none" w:sz="0" w:space="0" w:color="auto"/>
            <w:bottom w:val="none" w:sz="0" w:space="0" w:color="auto"/>
            <w:right w:val="none" w:sz="0" w:space="0" w:color="auto"/>
          </w:divBdr>
        </w:div>
        <w:div w:id="1847667293">
          <w:marLeft w:val="0"/>
          <w:marRight w:val="0"/>
          <w:marTop w:val="150"/>
          <w:marBottom w:val="270"/>
          <w:divBdr>
            <w:top w:val="none" w:sz="0" w:space="0" w:color="auto"/>
            <w:left w:val="none" w:sz="0" w:space="0" w:color="auto"/>
            <w:bottom w:val="none" w:sz="0" w:space="0" w:color="auto"/>
            <w:right w:val="none" w:sz="0" w:space="0" w:color="auto"/>
          </w:divBdr>
          <w:divsChild>
            <w:div w:id="908686337">
              <w:marLeft w:val="0"/>
              <w:marRight w:val="0"/>
              <w:marTop w:val="0"/>
              <w:marBottom w:val="0"/>
              <w:divBdr>
                <w:top w:val="none" w:sz="0" w:space="0" w:color="auto"/>
                <w:left w:val="none" w:sz="0" w:space="0" w:color="auto"/>
                <w:bottom w:val="none" w:sz="0" w:space="0" w:color="auto"/>
                <w:right w:val="none" w:sz="0" w:space="0" w:color="auto"/>
              </w:divBdr>
            </w:div>
          </w:divsChild>
        </w:div>
        <w:div w:id="1465124833">
          <w:marLeft w:val="0"/>
          <w:marRight w:val="0"/>
          <w:marTop w:val="150"/>
          <w:marBottom w:val="270"/>
          <w:divBdr>
            <w:top w:val="none" w:sz="0" w:space="0" w:color="auto"/>
            <w:left w:val="none" w:sz="0" w:space="0" w:color="auto"/>
            <w:bottom w:val="none" w:sz="0" w:space="0" w:color="auto"/>
            <w:right w:val="none" w:sz="0" w:space="0" w:color="auto"/>
          </w:divBdr>
        </w:div>
        <w:div w:id="1200823404">
          <w:marLeft w:val="0"/>
          <w:marRight w:val="0"/>
          <w:marTop w:val="150"/>
          <w:marBottom w:val="270"/>
          <w:divBdr>
            <w:top w:val="none" w:sz="0" w:space="0" w:color="auto"/>
            <w:left w:val="none" w:sz="0" w:space="0" w:color="auto"/>
            <w:bottom w:val="none" w:sz="0" w:space="0" w:color="auto"/>
            <w:right w:val="none" w:sz="0" w:space="0" w:color="auto"/>
          </w:divBdr>
        </w:div>
        <w:div w:id="1653095720">
          <w:marLeft w:val="0"/>
          <w:marRight w:val="0"/>
          <w:marTop w:val="150"/>
          <w:marBottom w:val="270"/>
          <w:divBdr>
            <w:top w:val="none" w:sz="0" w:space="0" w:color="auto"/>
            <w:left w:val="none" w:sz="0" w:space="0" w:color="auto"/>
            <w:bottom w:val="none" w:sz="0" w:space="0" w:color="auto"/>
            <w:right w:val="none" w:sz="0" w:space="0" w:color="auto"/>
          </w:divBdr>
        </w:div>
        <w:div w:id="1265074016">
          <w:marLeft w:val="0"/>
          <w:marRight w:val="0"/>
          <w:marTop w:val="150"/>
          <w:marBottom w:val="270"/>
          <w:divBdr>
            <w:top w:val="none" w:sz="0" w:space="0" w:color="auto"/>
            <w:left w:val="none" w:sz="0" w:space="0" w:color="auto"/>
            <w:bottom w:val="none" w:sz="0" w:space="0" w:color="auto"/>
            <w:right w:val="none" w:sz="0" w:space="0" w:color="auto"/>
          </w:divBdr>
        </w:div>
      </w:divsChild>
    </w:div>
    <w:div w:id="1093282689">
      <w:bodyDiv w:val="1"/>
      <w:marLeft w:val="0"/>
      <w:marRight w:val="0"/>
      <w:marTop w:val="0"/>
      <w:marBottom w:val="0"/>
      <w:divBdr>
        <w:top w:val="none" w:sz="0" w:space="0" w:color="auto"/>
        <w:left w:val="none" w:sz="0" w:space="0" w:color="auto"/>
        <w:bottom w:val="none" w:sz="0" w:space="0" w:color="auto"/>
        <w:right w:val="none" w:sz="0" w:space="0" w:color="auto"/>
      </w:divBdr>
      <w:divsChild>
        <w:div w:id="1048803475">
          <w:marLeft w:val="0"/>
          <w:marRight w:val="0"/>
          <w:marTop w:val="150"/>
          <w:marBottom w:val="270"/>
          <w:divBdr>
            <w:top w:val="none" w:sz="0" w:space="0" w:color="auto"/>
            <w:left w:val="none" w:sz="0" w:space="0" w:color="auto"/>
            <w:bottom w:val="none" w:sz="0" w:space="0" w:color="auto"/>
            <w:right w:val="none" w:sz="0" w:space="0" w:color="auto"/>
          </w:divBdr>
          <w:divsChild>
            <w:div w:id="1181510318">
              <w:marLeft w:val="0"/>
              <w:marRight w:val="0"/>
              <w:marTop w:val="0"/>
              <w:marBottom w:val="0"/>
              <w:divBdr>
                <w:top w:val="none" w:sz="0" w:space="0" w:color="auto"/>
                <w:left w:val="none" w:sz="0" w:space="0" w:color="auto"/>
                <w:bottom w:val="none" w:sz="0" w:space="0" w:color="auto"/>
                <w:right w:val="none" w:sz="0" w:space="0" w:color="auto"/>
              </w:divBdr>
              <w:divsChild>
                <w:div w:id="1293099017">
                  <w:marLeft w:val="0"/>
                  <w:marRight w:val="0"/>
                  <w:marTop w:val="210"/>
                  <w:marBottom w:val="0"/>
                  <w:divBdr>
                    <w:top w:val="none" w:sz="0" w:space="0" w:color="auto"/>
                    <w:left w:val="none" w:sz="0" w:space="0" w:color="auto"/>
                    <w:bottom w:val="none" w:sz="0" w:space="0" w:color="auto"/>
                    <w:right w:val="none" w:sz="0" w:space="0" w:color="auto"/>
                  </w:divBdr>
                </w:div>
                <w:div w:id="1236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3602">
          <w:marLeft w:val="0"/>
          <w:marRight w:val="0"/>
          <w:marTop w:val="150"/>
          <w:marBottom w:val="270"/>
          <w:divBdr>
            <w:top w:val="none" w:sz="0" w:space="0" w:color="auto"/>
            <w:left w:val="none" w:sz="0" w:space="0" w:color="auto"/>
            <w:bottom w:val="none" w:sz="0" w:space="0" w:color="auto"/>
            <w:right w:val="none" w:sz="0" w:space="0" w:color="auto"/>
          </w:divBdr>
        </w:div>
        <w:div w:id="1036739296">
          <w:marLeft w:val="0"/>
          <w:marRight w:val="0"/>
          <w:marTop w:val="150"/>
          <w:marBottom w:val="270"/>
          <w:divBdr>
            <w:top w:val="none" w:sz="0" w:space="0" w:color="auto"/>
            <w:left w:val="none" w:sz="0" w:space="0" w:color="auto"/>
            <w:bottom w:val="none" w:sz="0" w:space="0" w:color="auto"/>
            <w:right w:val="none" w:sz="0" w:space="0" w:color="auto"/>
          </w:divBdr>
          <w:divsChild>
            <w:div w:id="1460102723">
              <w:marLeft w:val="0"/>
              <w:marRight w:val="0"/>
              <w:marTop w:val="0"/>
              <w:marBottom w:val="0"/>
              <w:divBdr>
                <w:top w:val="none" w:sz="0" w:space="0" w:color="auto"/>
                <w:left w:val="none" w:sz="0" w:space="0" w:color="auto"/>
                <w:bottom w:val="none" w:sz="0" w:space="0" w:color="auto"/>
                <w:right w:val="none" w:sz="0" w:space="0" w:color="auto"/>
              </w:divBdr>
              <w:divsChild>
                <w:div w:id="991258273">
                  <w:marLeft w:val="0"/>
                  <w:marRight w:val="0"/>
                  <w:marTop w:val="405"/>
                  <w:marBottom w:val="375"/>
                  <w:divBdr>
                    <w:top w:val="single" w:sz="6" w:space="0" w:color="C0C0C0"/>
                    <w:left w:val="none" w:sz="0" w:space="0" w:color="auto"/>
                    <w:bottom w:val="single" w:sz="6" w:space="0" w:color="C0C0C0"/>
                    <w:right w:val="none" w:sz="0" w:space="0" w:color="auto"/>
                  </w:divBdr>
                  <w:divsChild>
                    <w:div w:id="923340199">
                      <w:marLeft w:val="0"/>
                      <w:marRight w:val="0"/>
                      <w:marTop w:val="450"/>
                      <w:marBottom w:val="240"/>
                      <w:divBdr>
                        <w:top w:val="none" w:sz="0" w:space="0" w:color="auto"/>
                        <w:left w:val="none" w:sz="0" w:space="0" w:color="auto"/>
                        <w:bottom w:val="none" w:sz="0" w:space="0" w:color="auto"/>
                        <w:right w:val="none" w:sz="0" w:space="0" w:color="auto"/>
                      </w:divBdr>
                    </w:div>
                  </w:divsChild>
                </w:div>
              </w:divsChild>
            </w:div>
          </w:divsChild>
        </w:div>
        <w:div w:id="602954643">
          <w:marLeft w:val="0"/>
          <w:marRight w:val="0"/>
          <w:marTop w:val="150"/>
          <w:marBottom w:val="270"/>
          <w:divBdr>
            <w:top w:val="none" w:sz="0" w:space="0" w:color="auto"/>
            <w:left w:val="none" w:sz="0" w:space="0" w:color="auto"/>
            <w:bottom w:val="none" w:sz="0" w:space="0" w:color="auto"/>
            <w:right w:val="none" w:sz="0" w:space="0" w:color="auto"/>
          </w:divBdr>
          <w:divsChild>
            <w:div w:id="1094203517">
              <w:marLeft w:val="0"/>
              <w:marRight w:val="0"/>
              <w:marTop w:val="0"/>
              <w:marBottom w:val="0"/>
              <w:divBdr>
                <w:top w:val="none" w:sz="0" w:space="0" w:color="auto"/>
                <w:left w:val="none" w:sz="0" w:space="0" w:color="auto"/>
                <w:bottom w:val="none" w:sz="0" w:space="0" w:color="auto"/>
                <w:right w:val="none" w:sz="0" w:space="0" w:color="auto"/>
              </w:divBdr>
            </w:div>
          </w:divsChild>
        </w:div>
        <w:div w:id="1486320207">
          <w:marLeft w:val="0"/>
          <w:marRight w:val="0"/>
          <w:marTop w:val="150"/>
          <w:marBottom w:val="270"/>
          <w:divBdr>
            <w:top w:val="none" w:sz="0" w:space="0" w:color="auto"/>
            <w:left w:val="none" w:sz="0" w:space="0" w:color="auto"/>
            <w:bottom w:val="none" w:sz="0" w:space="0" w:color="auto"/>
            <w:right w:val="none" w:sz="0" w:space="0" w:color="auto"/>
          </w:divBdr>
          <w:divsChild>
            <w:div w:id="825979233">
              <w:marLeft w:val="0"/>
              <w:marRight w:val="0"/>
              <w:marTop w:val="0"/>
              <w:marBottom w:val="0"/>
              <w:divBdr>
                <w:top w:val="none" w:sz="0" w:space="0" w:color="auto"/>
                <w:left w:val="none" w:sz="0" w:space="0" w:color="auto"/>
                <w:bottom w:val="none" w:sz="0" w:space="0" w:color="auto"/>
                <w:right w:val="none" w:sz="0" w:space="0" w:color="auto"/>
              </w:divBdr>
            </w:div>
            <w:div w:id="1389841349">
              <w:marLeft w:val="0"/>
              <w:marRight w:val="0"/>
              <w:marTop w:val="0"/>
              <w:marBottom w:val="0"/>
              <w:divBdr>
                <w:top w:val="none" w:sz="0" w:space="0" w:color="auto"/>
                <w:left w:val="none" w:sz="0" w:space="0" w:color="auto"/>
                <w:bottom w:val="none" w:sz="0" w:space="0" w:color="auto"/>
                <w:right w:val="none" w:sz="0" w:space="0" w:color="auto"/>
              </w:divBdr>
            </w:div>
          </w:divsChild>
        </w:div>
        <w:div w:id="1573730746">
          <w:marLeft w:val="0"/>
          <w:marRight w:val="0"/>
          <w:marTop w:val="150"/>
          <w:marBottom w:val="270"/>
          <w:divBdr>
            <w:top w:val="none" w:sz="0" w:space="0" w:color="auto"/>
            <w:left w:val="none" w:sz="0" w:space="0" w:color="auto"/>
            <w:bottom w:val="none" w:sz="0" w:space="0" w:color="auto"/>
            <w:right w:val="none" w:sz="0" w:space="0" w:color="auto"/>
          </w:divBdr>
          <w:divsChild>
            <w:div w:id="1858351794">
              <w:marLeft w:val="0"/>
              <w:marRight w:val="0"/>
              <w:marTop w:val="0"/>
              <w:marBottom w:val="0"/>
              <w:divBdr>
                <w:top w:val="none" w:sz="0" w:space="0" w:color="auto"/>
                <w:left w:val="none" w:sz="0" w:space="0" w:color="auto"/>
                <w:bottom w:val="none" w:sz="0" w:space="0" w:color="auto"/>
                <w:right w:val="none" w:sz="0" w:space="0" w:color="auto"/>
              </w:divBdr>
            </w:div>
            <w:div w:id="1813474402">
              <w:marLeft w:val="0"/>
              <w:marRight w:val="0"/>
              <w:marTop w:val="0"/>
              <w:marBottom w:val="0"/>
              <w:divBdr>
                <w:top w:val="none" w:sz="0" w:space="0" w:color="auto"/>
                <w:left w:val="none" w:sz="0" w:space="0" w:color="auto"/>
                <w:bottom w:val="none" w:sz="0" w:space="0" w:color="auto"/>
                <w:right w:val="none" w:sz="0" w:space="0" w:color="auto"/>
              </w:divBdr>
            </w:div>
            <w:div w:id="415637507">
              <w:marLeft w:val="0"/>
              <w:marRight w:val="0"/>
              <w:marTop w:val="0"/>
              <w:marBottom w:val="0"/>
              <w:divBdr>
                <w:top w:val="none" w:sz="0" w:space="0" w:color="auto"/>
                <w:left w:val="none" w:sz="0" w:space="0" w:color="auto"/>
                <w:bottom w:val="none" w:sz="0" w:space="0" w:color="auto"/>
                <w:right w:val="none" w:sz="0" w:space="0" w:color="auto"/>
              </w:divBdr>
            </w:div>
            <w:div w:id="603422264">
              <w:marLeft w:val="0"/>
              <w:marRight w:val="0"/>
              <w:marTop w:val="0"/>
              <w:marBottom w:val="0"/>
              <w:divBdr>
                <w:top w:val="none" w:sz="0" w:space="0" w:color="auto"/>
                <w:left w:val="none" w:sz="0" w:space="0" w:color="auto"/>
                <w:bottom w:val="none" w:sz="0" w:space="0" w:color="auto"/>
                <w:right w:val="none" w:sz="0" w:space="0" w:color="auto"/>
              </w:divBdr>
            </w:div>
          </w:divsChild>
        </w:div>
        <w:div w:id="1670207399">
          <w:marLeft w:val="0"/>
          <w:marRight w:val="0"/>
          <w:marTop w:val="150"/>
          <w:marBottom w:val="270"/>
          <w:divBdr>
            <w:top w:val="none" w:sz="0" w:space="0" w:color="auto"/>
            <w:left w:val="none" w:sz="0" w:space="0" w:color="auto"/>
            <w:bottom w:val="none" w:sz="0" w:space="0" w:color="auto"/>
            <w:right w:val="none" w:sz="0" w:space="0" w:color="auto"/>
          </w:divBdr>
          <w:divsChild>
            <w:div w:id="577062017">
              <w:marLeft w:val="0"/>
              <w:marRight w:val="0"/>
              <w:marTop w:val="0"/>
              <w:marBottom w:val="0"/>
              <w:divBdr>
                <w:top w:val="none" w:sz="0" w:space="0" w:color="auto"/>
                <w:left w:val="none" w:sz="0" w:space="0" w:color="auto"/>
                <w:bottom w:val="none" w:sz="0" w:space="0" w:color="auto"/>
                <w:right w:val="none" w:sz="0" w:space="0" w:color="auto"/>
              </w:divBdr>
            </w:div>
            <w:div w:id="566573952">
              <w:marLeft w:val="0"/>
              <w:marRight w:val="0"/>
              <w:marTop w:val="0"/>
              <w:marBottom w:val="0"/>
              <w:divBdr>
                <w:top w:val="none" w:sz="0" w:space="0" w:color="auto"/>
                <w:left w:val="none" w:sz="0" w:space="0" w:color="auto"/>
                <w:bottom w:val="none" w:sz="0" w:space="0" w:color="auto"/>
                <w:right w:val="none" w:sz="0" w:space="0" w:color="auto"/>
              </w:divBdr>
            </w:div>
            <w:div w:id="765199443">
              <w:marLeft w:val="0"/>
              <w:marRight w:val="0"/>
              <w:marTop w:val="0"/>
              <w:marBottom w:val="0"/>
              <w:divBdr>
                <w:top w:val="none" w:sz="0" w:space="0" w:color="auto"/>
                <w:left w:val="none" w:sz="0" w:space="0" w:color="auto"/>
                <w:bottom w:val="none" w:sz="0" w:space="0" w:color="auto"/>
                <w:right w:val="none" w:sz="0" w:space="0" w:color="auto"/>
              </w:divBdr>
            </w:div>
            <w:div w:id="1882547433">
              <w:marLeft w:val="0"/>
              <w:marRight w:val="0"/>
              <w:marTop w:val="0"/>
              <w:marBottom w:val="0"/>
              <w:divBdr>
                <w:top w:val="none" w:sz="0" w:space="0" w:color="auto"/>
                <w:left w:val="none" w:sz="0" w:space="0" w:color="auto"/>
                <w:bottom w:val="none" w:sz="0" w:space="0" w:color="auto"/>
                <w:right w:val="none" w:sz="0" w:space="0" w:color="auto"/>
              </w:divBdr>
            </w:div>
          </w:divsChild>
        </w:div>
        <w:div w:id="1120495705">
          <w:marLeft w:val="0"/>
          <w:marRight w:val="0"/>
          <w:marTop w:val="150"/>
          <w:marBottom w:val="270"/>
          <w:divBdr>
            <w:top w:val="none" w:sz="0" w:space="0" w:color="auto"/>
            <w:left w:val="none" w:sz="0" w:space="0" w:color="auto"/>
            <w:bottom w:val="none" w:sz="0" w:space="0" w:color="auto"/>
            <w:right w:val="none" w:sz="0" w:space="0" w:color="auto"/>
          </w:divBdr>
          <w:divsChild>
            <w:div w:id="1205220094">
              <w:marLeft w:val="0"/>
              <w:marRight w:val="0"/>
              <w:marTop w:val="0"/>
              <w:marBottom w:val="0"/>
              <w:divBdr>
                <w:top w:val="none" w:sz="0" w:space="0" w:color="auto"/>
                <w:left w:val="none" w:sz="0" w:space="0" w:color="auto"/>
                <w:bottom w:val="none" w:sz="0" w:space="0" w:color="auto"/>
                <w:right w:val="none" w:sz="0" w:space="0" w:color="auto"/>
              </w:divBdr>
            </w:div>
          </w:divsChild>
        </w:div>
        <w:div w:id="463819381">
          <w:marLeft w:val="0"/>
          <w:marRight w:val="0"/>
          <w:marTop w:val="150"/>
          <w:marBottom w:val="270"/>
          <w:divBdr>
            <w:top w:val="none" w:sz="0" w:space="0" w:color="auto"/>
            <w:left w:val="none" w:sz="0" w:space="0" w:color="auto"/>
            <w:bottom w:val="none" w:sz="0" w:space="0" w:color="auto"/>
            <w:right w:val="none" w:sz="0" w:space="0" w:color="auto"/>
          </w:divBdr>
          <w:divsChild>
            <w:div w:id="1178039226">
              <w:marLeft w:val="0"/>
              <w:marRight w:val="0"/>
              <w:marTop w:val="0"/>
              <w:marBottom w:val="0"/>
              <w:divBdr>
                <w:top w:val="none" w:sz="0" w:space="0" w:color="auto"/>
                <w:left w:val="none" w:sz="0" w:space="0" w:color="auto"/>
                <w:bottom w:val="none" w:sz="0" w:space="0" w:color="auto"/>
                <w:right w:val="none" w:sz="0" w:space="0" w:color="auto"/>
              </w:divBdr>
            </w:div>
            <w:div w:id="1073503573">
              <w:marLeft w:val="0"/>
              <w:marRight w:val="0"/>
              <w:marTop w:val="0"/>
              <w:marBottom w:val="0"/>
              <w:divBdr>
                <w:top w:val="none" w:sz="0" w:space="0" w:color="auto"/>
                <w:left w:val="none" w:sz="0" w:space="0" w:color="auto"/>
                <w:bottom w:val="none" w:sz="0" w:space="0" w:color="auto"/>
                <w:right w:val="none" w:sz="0" w:space="0" w:color="auto"/>
              </w:divBdr>
            </w:div>
            <w:div w:id="911156778">
              <w:marLeft w:val="0"/>
              <w:marRight w:val="0"/>
              <w:marTop w:val="0"/>
              <w:marBottom w:val="0"/>
              <w:divBdr>
                <w:top w:val="none" w:sz="0" w:space="0" w:color="auto"/>
                <w:left w:val="none" w:sz="0" w:space="0" w:color="auto"/>
                <w:bottom w:val="none" w:sz="0" w:space="0" w:color="auto"/>
                <w:right w:val="none" w:sz="0" w:space="0" w:color="auto"/>
              </w:divBdr>
            </w:div>
          </w:divsChild>
        </w:div>
        <w:div w:id="2051490742">
          <w:marLeft w:val="0"/>
          <w:marRight w:val="0"/>
          <w:marTop w:val="150"/>
          <w:marBottom w:val="270"/>
          <w:divBdr>
            <w:top w:val="none" w:sz="0" w:space="0" w:color="auto"/>
            <w:left w:val="none" w:sz="0" w:space="0" w:color="auto"/>
            <w:bottom w:val="none" w:sz="0" w:space="0" w:color="auto"/>
            <w:right w:val="none" w:sz="0" w:space="0" w:color="auto"/>
          </w:divBdr>
        </w:div>
        <w:div w:id="1057707374">
          <w:marLeft w:val="0"/>
          <w:marRight w:val="0"/>
          <w:marTop w:val="150"/>
          <w:marBottom w:val="270"/>
          <w:divBdr>
            <w:top w:val="none" w:sz="0" w:space="0" w:color="auto"/>
            <w:left w:val="none" w:sz="0" w:space="0" w:color="auto"/>
            <w:bottom w:val="none" w:sz="0" w:space="0" w:color="auto"/>
            <w:right w:val="none" w:sz="0" w:space="0" w:color="auto"/>
          </w:divBdr>
          <w:divsChild>
            <w:div w:id="1188519817">
              <w:marLeft w:val="0"/>
              <w:marRight w:val="0"/>
              <w:marTop w:val="0"/>
              <w:marBottom w:val="0"/>
              <w:divBdr>
                <w:top w:val="none" w:sz="0" w:space="0" w:color="auto"/>
                <w:left w:val="none" w:sz="0" w:space="0" w:color="auto"/>
                <w:bottom w:val="none" w:sz="0" w:space="0" w:color="auto"/>
                <w:right w:val="none" w:sz="0" w:space="0" w:color="auto"/>
              </w:divBdr>
            </w:div>
          </w:divsChild>
        </w:div>
        <w:div w:id="277378745">
          <w:marLeft w:val="0"/>
          <w:marRight w:val="0"/>
          <w:marTop w:val="150"/>
          <w:marBottom w:val="270"/>
          <w:divBdr>
            <w:top w:val="none" w:sz="0" w:space="0" w:color="auto"/>
            <w:left w:val="none" w:sz="0" w:space="0" w:color="auto"/>
            <w:bottom w:val="none" w:sz="0" w:space="0" w:color="auto"/>
            <w:right w:val="none" w:sz="0" w:space="0" w:color="auto"/>
          </w:divBdr>
        </w:div>
      </w:divsChild>
    </w:div>
    <w:div w:id="12997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edjournal.com/action/doSearch?AllField=%22COVID-19%22&amp;journalCode=yrmed" TargetMode="External"/><Relationship Id="rId13" Type="http://schemas.openxmlformats.org/officeDocument/2006/relationships/hyperlink" Target="https://www.resmedjournal.com/article/S0954-6111(20)30328-0/fulltext" TargetMode="External"/><Relationship Id="rId18" Type="http://schemas.openxmlformats.org/officeDocument/2006/relationships/hyperlink" Target="https://www.resmedjournal.com/article/S0954-6111(20)30328-0/fulltex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smedjournal.com/action/doSearch?AllField=%22Therapeutic%20plasma%20exchange%22&amp;journalCode=yrmed" TargetMode="External"/><Relationship Id="rId12" Type="http://schemas.openxmlformats.org/officeDocument/2006/relationships/hyperlink" Target="https://www.resmedjournal.com/action/doSearch?AllField=%22Therapeutic%20benefit%22&amp;journalCode=yrmed"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resmedjournal.com/article/S0954-6111(20)30328-0/fulltext" TargetMode="External"/><Relationship Id="rId20" Type="http://schemas.openxmlformats.org/officeDocument/2006/relationships/hyperlink" Target="https://www.resmedjournal.com/article/S0954-6111(20)30328-0/fulltext" TargetMode="External"/><Relationship Id="rId1" Type="http://schemas.openxmlformats.org/officeDocument/2006/relationships/numbering" Target="numbering.xml"/><Relationship Id="rId6" Type="http://schemas.openxmlformats.org/officeDocument/2006/relationships/hyperlink" Target="http://clinicaltrials.gov/show/NCT04374149" TargetMode="External"/><Relationship Id="rId11" Type="http://schemas.openxmlformats.org/officeDocument/2006/relationships/hyperlink" Target="https://www.resmedjournal.com/action/doSearch?AllField=%22Oxygenation%22&amp;journalCode=yrmed" TargetMode="External"/><Relationship Id="rId5" Type="http://schemas.openxmlformats.org/officeDocument/2006/relationships/hyperlink" Target="https://www.resmedjournal.com/article/S0954-6111(20)30328-0/fulltext" TargetMode="External"/><Relationship Id="rId15" Type="http://schemas.openxmlformats.org/officeDocument/2006/relationships/hyperlink" Target="https://www.resmedjournal.com/article/S0954-6111(20)30328-0/fulltext" TargetMode="External"/><Relationship Id="rId10" Type="http://schemas.openxmlformats.org/officeDocument/2006/relationships/hyperlink" Target="https://www.resmedjournal.com/action/doSearch?AllField=%22Respiratory%20failure%22&amp;journalCode=yrmed"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resmedjournal.com/action/doSearch?AllField=%22Cytokine%20release%20syndrome%22&amp;journalCode=yrmed" TargetMode="External"/><Relationship Id="rId14" Type="http://schemas.openxmlformats.org/officeDocument/2006/relationships/hyperlink" Target="https://www.resmedjournal.com/article/S0954-6111(20)30328-0/fulltex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3380</Words>
  <Characters>19270</Characters>
  <Application>Microsoft Office Word</Application>
  <DocSecurity>0</DocSecurity>
  <Lines>160</Lines>
  <Paragraphs>45</Paragraphs>
  <ScaleCrop>false</ScaleCrop>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2021-08-16T12:16:00Z</dcterms:created>
  <dcterms:modified xsi:type="dcterms:W3CDTF">2021-08-16T13:01:00Z</dcterms:modified>
</cp:coreProperties>
</file>