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5B11" w:rsidRPr="00155B11" w:rsidRDefault="00155B11" w:rsidP="00155B11">
      <w:pPr>
        <w:shd w:val="clear" w:color="auto" w:fill="FFFFFF"/>
        <w:spacing w:before="240" w:after="120" w:line="324" w:lineRule="atLeast"/>
        <w:outlineLvl w:val="0"/>
        <w:rPr>
          <w:rFonts w:ascii="Arial" w:eastAsia="Times New Roman" w:hAnsi="Arial" w:cs="Arial"/>
          <w:b/>
          <w:bCs/>
          <w:color w:val="000000"/>
          <w:kern w:val="36"/>
          <w:sz w:val="37"/>
          <w:szCs w:val="37"/>
        </w:rPr>
      </w:pPr>
      <w:r w:rsidRPr="00155B11">
        <w:rPr>
          <w:rFonts w:ascii="Arial" w:eastAsia="Times New Roman" w:hAnsi="Arial" w:cs="Arial"/>
          <w:b/>
          <w:bCs/>
          <w:color w:val="000000"/>
          <w:kern w:val="36"/>
          <w:sz w:val="37"/>
          <w:szCs w:val="37"/>
        </w:rPr>
        <w:t>The Role of Plasmapheresis in Critical Illness</w:t>
      </w:r>
    </w:p>
    <w:p w:rsidR="00155B11" w:rsidRDefault="00155B11"/>
    <w:p w:rsidR="009A6DEC" w:rsidRDefault="00155B11">
      <w:hyperlink r:id="rId5" w:history="1">
        <w:r w:rsidRPr="003147C9">
          <w:rPr>
            <w:rStyle w:val="Hyperlink"/>
          </w:rPr>
          <w:t>https://www.ncbi.nlm.nih.gov/pmc/articles/PMC3381605/</w:t>
        </w:r>
      </w:hyperlink>
    </w:p>
    <w:p w:rsidR="00155B11" w:rsidRDefault="00155B11"/>
    <w:p w:rsidR="00155B11" w:rsidRPr="00155B11" w:rsidRDefault="00155B11" w:rsidP="00155B11">
      <w:pPr>
        <w:pBdr>
          <w:bottom w:val="single" w:sz="6" w:space="0" w:color="97B0C8"/>
        </w:pBdr>
        <w:shd w:val="clear" w:color="auto" w:fill="FFFFFF"/>
        <w:spacing w:before="270" w:after="0" w:line="267" w:lineRule="atLeast"/>
        <w:outlineLvl w:val="1"/>
        <w:rPr>
          <w:rFonts w:ascii="Arial" w:eastAsia="Times New Roman" w:hAnsi="Arial" w:cs="Arial"/>
          <w:b/>
          <w:bCs/>
          <w:color w:val="985735"/>
          <w:sz w:val="27"/>
          <w:szCs w:val="27"/>
        </w:rPr>
      </w:pPr>
      <w:r w:rsidRPr="00155B11">
        <w:rPr>
          <w:rFonts w:ascii="Arial" w:eastAsia="Times New Roman" w:hAnsi="Arial" w:cs="Arial"/>
          <w:b/>
          <w:bCs/>
          <w:color w:val="985735"/>
          <w:sz w:val="27"/>
          <w:szCs w:val="27"/>
        </w:rPr>
        <w:t>Synopsis</w:t>
      </w:r>
    </w:p>
    <w:p w:rsidR="00155B11" w:rsidRPr="00155B11" w:rsidRDefault="00155B11" w:rsidP="00155B11">
      <w:pPr>
        <w:shd w:val="clear" w:color="auto" w:fill="FFFFFF"/>
        <w:spacing w:before="166" w:after="166" w:line="240" w:lineRule="auto"/>
        <w:rPr>
          <w:rFonts w:ascii="Times New Roman" w:eastAsia="Times New Roman" w:hAnsi="Times New Roman" w:cs="Times New Roman"/>
          <w:color w:val="000000"/>
          <w:sz w:val="24"/>
          <w:szCs w:val="24"/>
        </w:rPr>
      </w:pPr>
      <w:r w:rsidRPr="00155B11">
        <w:rPr>
          <w:rFonts w:ascii="Times New Roman" w:eastAsia="Times New Roman" w:hAnsi="Times New Roman" w:cs="Times New Roman"/>
          <w:color w:val="000000"/>
          <w:sz w:val="24"/>
          <w:szCs w:val="24"/>
        </w:rPr>
        <w:t>In this chapter, we will review the current recommendations from the American Society for Apheresis regarding the use of plasmapheresis in many of the diseases that intensivists commonly encounter in critically ill patients. Recent experience indicates that therapeutic plasma exchange (TPE) may be useful in a wide spectrum of illnesses characterized by microvascular thrombosis, the presence of auto-antibodies, immune activation with dysregulation of immune response, and in some infections.</w:t>
      </w:r>
    </w:p>
    <w:p w:rsidR="00155B11" w:rsidRPr="00155B11" w:rsidRDefault="00155B11" w:rsidP="00155B11">
      <w:pPr>
        <w:shd w:val="clear" w:color="auto" w:fill="FFFFFF"/>
        <w:spacing w:after="0" w:line="240" w:lineRule="auto"/>
        <w:rPr>
          <w:rFonts w:ascii="Times New Roman" w:eastAsia="Times New Roman" w:hAnsi="Times New Roman" w:cs="Times New Roman"/>
          <w:color w:val="000000"/>
          <w:sz w:val="24"/>
          <w:szCs w:val="24"/>
        </w:rPr>
      </w:pPr>
      <w:r w:rsidRPr="00155B11">
        <w:rPr>
          <w:rFonts w:ascii="Times New Roman" w:eastAsia="Times New Roman" w:hAnsi="Times New Roman" w:cs="Times New Roman"/>
          <w:b/>
          <w:bCs/>
          <w:color w:val="000000"/>
          <w:sz w:val="24"/>
          <w:szCs w:val="24"/>
        </w:rPr>
        <w:t>Keywords: </w:t>
      </w:r>
      <w:r w:rsidRPr="00155B11">
        <w:rPr>
          <w:rFonts w:ascii="Times New Roman" w:eastAsia="Times New Roman" w:hAnsi="Times New Roman" w:cs="Times New Roman"/>
          <w:color w:val="000000"/>
          <w:sz w:val="24"/>
          <w:szCs w:val="24"/>
        </w:rPr>
        <w:t>therapeutic plasma exchange, thrombotic microangiopathy, microvascular thrombosis, auto-antibodies, liver failure, hemophagocytic lymphohistiocytosis, rapidly progressive glomerulo nephritis, vasculitides, solid organ transplantation</w:t>
      </w:r>
    </w:p>
    <w:p w:rsidR="00155B11" w:rsidRDefault="00155B11"/>
    <w:p w:rsidR="00155B11" w:rsidRDefault="00155B11"/>
    <w:p w:rsidR="00155B11" w:rsidRPr="00155B11" w:rsidRDefault="00155B11" w:rsidP="00155B11">
      <w:pPr>
        <w:pBdr>
          <w:bottom w:val="single" w:sz="6" w:space="0" w:color="97B0C8"/>
        </w:pBdr>
        <w:shd w:val="clear" w:color="auto" w:fill="FFFFFF"/>
        <w:spacing w:before="270" w:after="0" w:line="267" w:lineRule="atLeast"/>
        <w:outlineLvl w:val="1"/>
        <w:rPr>
          <w:rFonts w:ascii="Arial" w:eastAsia="Times New Roman" w:hAnsi="Arial" w:cs="Arial"/>
          <w:b/>
          <w:bCs/>
          <w:color w:val="985735"/>
          <w:sz w:val="27"/>
          <w:szCs w:val="27"/>
        </w:rPr>
      </w:pPr>
      <w:r w:rsidRPr="00155B11">
        <w:rPr>
          <w:rFonts w:ascii="Arial" w:eastAsia="Times New Roman" w:hAnsi="Arial" w:cs="Arial"/>
          <w:b/>
          <w:bCs/>
          <w:color w:val="985735"/>
          <w:sz w:val="27"/>
          <w:szCs w:val="27"/>
        </w:rPr>
        <w:t>Introduction</w:t>
      </w:r>
    </w:p>
    <w:p w:rsidR="00155B11" w:rsidRPr="00155B11" w:rsidRDefault="00155B11" w:rsidP="00155B11">
      <w:pPr>
        <w:shd w:val="clear" w:color="auto" w:fill="FFFFFF"/>
        <w:spacing w:before="166" w:after="166" w:line="240" w:lineRule="auto"/>
        <w:rPr>
          <w:rFonts w:ascii="Times New Roman" w:eastAsia="Times New Roman" w:hAnsi="Times New Roman" w:cs="Times New Roman"/>
          <w:color w:val="000000"/>
          <w:sz w:val="24"/>
          <w:szCs w:val="24"/>
        </w:rPr>
      </w:pPr>
      <w:r w:rsidRPr="00155B11">
        <w:rPr>
          <w:rFonts w:ascii="Times New Roman" w:eastAsia="Times New Roman" w:hAnsi="Times New Roman" w:cs="Times New Roman"/>
          <w:color w:val="000000"/>
          <w:sz w:val="24"/>
          <w:szCs w:val="24"/>
        </w:rPr>
        <w:t>Since antiquity, mankind has hypothesized there are bad substances called “humors” which accumulate in the blood of sick patients and that the removal of these humors would make patients feel better. Bloodletting, the practice of draining blood from sick patients, has been around since the Egyptians, dating back one thousand years B.C. The practice of bloodletting peaked in the 18</w:t>
      </w:r>
      <w:r w:rsidRPr="00155B11">
        <w:rPr>
          <w:rFonts w:ascii="Times New Roman" w:eastAsia="Times New Roman" w:hAnsi="Times New Roman" w:cs="Times New Roman"/>
          <w:color w:val="000000"/>
          <w:sz w:val="20"/>
          <w:szCs w:val="20"/>
          <w:vertAlign w:val="superscript"/>
        </w:rPr>
        <w:t>th</w:t>
      </w:r>
      <w:r w:rsidRPr="00155B11">
        <w:rPr>
          <w:rFonts w:ascii="Times New Roman" w:eastAsia="Times New Roman" w:hAnsi="Times New Roman" w:cs="Times New Roman"/>
          <w:color w:val="000000"/>
          <w:sz w:val="24"/>
          <w:szCs w:val="24"/>
        </w:rPr>
        <w:t> century and evolves with modern technology to this day. Blood has four major components: red blood cells, white blood cells, platelets, and plasma. With modern machinery, blood can be separated into each of these four components. Thus, if a particular blood component is causing harm, it can be selectively removed and replaced with the same blood component from healthy donors.</w:t>
      </w:r>
    </w:p>
    <w:p w:rsidR="00155B11" w:rsidRPr="00155B11" w:rsidRDefault="00155B11" w:rsidP="00155B11">
      <w:pPr>
        <w:shd w:val="clear" w:color="auto" w:fill="FFFFFF"/>
        <w:spacing w:before="166" w:after="166" w:line="240" w:lineRule="auto"/>
        <w:rPr>
          <w:rFonts w:ascii="Times New Roman" w:eastAsia="Times New Roman" w:hAnsi="Times New Roman" w:cs="Times New Roman"/>
          <w:color w:val="000000"/>
          <w:sz w:val="24"/>
          <w:szCs w:val="24"/>
        </w:rPr>
      </w:pPr>
      <w:r w:rsidRPr="00155B11">
        <w:rPr>
          <w:rFonts w:ascii="Times New Roman" w:eastAsia="Times New Roman" w:hAnsi="Times New Roman" w:cs="Times New Roman"/>
          <w:color w:val="000000"/>
          <w:sz w:val="24"/>
          <w:szCs w:val="24"/>
        </w:rPr>
        <w:t>In this chapter, we will review the current recommendations from the American Society for Apheresis for plasmapheresis in many of the diseases that intensivists commonly encounter in critically ill patients.</w:t>
      </w:r>
      <w:hyperlink r:id="rId6" w:anchor="R1" w:history="1">
        <w:r w:rsidRPr="00155B11">
          <w:rPr>
            <w:rFonts w:ascii="Times New Roman" w:eastAsia="Times New Roman" w:hAnsi="Times New Roman" w:cs="Times New Roman"/>
            <w:color w:val="2F4A8B"/>
            <w:sz w:val="20"/>
            <w:szCs w:val="20"/>
            <w:u w:val="single"/>
            <w:vertAlign w:val="superscript"/>
          </w:rPr>
          <w:t>1</w:t>
        </w:r>
      </w:hyperlink>
      <w:r w:rsidRPr="00155B11">
        <w:rPr>
          <w:rFonts w:ascii="Times New Roman" w:eastAsia="Times New Roman" w:hAnsi="Times New Roman" w:cs="Times New Roman"/>
          <w:color w:val="000000"/>
          <w:sz w:val="24"/>
          <w:szCs w:val="24"/>
        </w:rPr>
        <w:t> Apheresis is derived from the Greek word “aphairesis” – to take away. Plasmapheresis is an apheresis procedure that separates and removes the plasma component from a patient. Plasma exchange is when plasmapheresis is followed by replacement with fresh frozen plasma infusion.</w:t>
      </w:r>
    </w:p>
    <w:p w:rsidR="00155B11" w:rsidRDefault="00155B11"/>
    <w:p w:rsidR="00155B11" w:rsidRPr="00155B11" w:rsidRDefault="00155B11" w:rsidP="00155B11">
      <w:pPr>
        <w:pBdr>
          <w:bottom w:val="single" w:sz="6" w:space="0" w:color="97B0C8"/>
        </w:pBdr>
        <w:shd w:val="clear" w:color="auto" w:fill="FFFFFF"/>
        <w:spacing w:before="270" w:after="0" w:line="267" w:lineRule="atLeast"/>
        <w:outlineLvl w:val="1"/>
        <w:rPr>
          <w:rFonts w:ascii="Arial" w:eastAsia="Times New Roman" w:hAnsi="Arial" w:cs="Arial"/>
          <w:b/>
          <w:bCs/>
          <w:color w:val="985735"/>
          <w:sz w:val="27"/>
          <w:szCs w:val="27"/>
        </w:rPr>
      </w:pPr>
      <w:r w:rsidRPr="00155B11">
        <w:rPr>
          <w:rFonts w:ascii="Arial" w:eastAsia="Times New Roman" w:hAnsi="Arial" w:cs="Arial"/>
          <w:b/>
          <w:bCs/>
          <w:color w:val="985735"/>
          <w:sz w:val="27"/>
          <w:szCs w:val="27"/>
        </w:rPr>
        <w:t>Techniques of Separating Plasma from Whole Blood</w:t>
      </w:r>
    </w:p>
    <w:p w:rsidR="00155B11" w:rsidRPr="00155B11" w:rsidRDefault="00155B11" w:rsidP="00155B11">
      <w:pPr>
        <w:shd w:val="clear" w:color="auto" w:fill="FFFFFF"/>
        <w:spacing w:before="166" w:after="166" w:line="240" w:lineRule="auto"/>
        <w:rPr>
          <w:rFonts w:ascii="Times New Roman" w:eastAsia="Times New Roman" w:hAnsi="Times New Roman" w:cs="Times New Roman"/>
          <w:color w:val="000000"/>
          <w:sz w:val="24"/>
          <w:szCs w:val="24"/>
        </w:rPr>
      </w:pPr>
      <w:r w:rsidRPr="00155B11">
        <w:rPr>
          <w:rFonts w:ascii="Times New Roman" w:eastAsia="Times New Roman" w:hAnsi="Times New Roman" w:cs="Times New Roman"/>
          <w:color w:val="000000"/>
          <w:sz w:val="24"/>
          <w:szCs w:val="24"/>
        </w:rPr>
        <w:lastRenderedPageBreak/>
        <w:t>Plasmapheresis is performed by two fundamentally different techniques: centrifugation or filtration. With centrifugation apheresis, whole blood is spun so that the four major blood components are separated out into layers by their different densities. With filtration plasmapheresis, whole blood passes through a filter to separate the plasma components from the larger cellular components of red blood cells, white blood cells, and platelets. Centrifugation apheresis is commonly performed by blood bankers. A major advantage is that there is no limit on the size of the molecules being removed. Its disadvantage is that it usually requires a consultation to another service such as a blood banker. Filtration plasmapheresis is commonly performed by nephrologists and intensivist. Its major advantage is that a large filter can be easily added to the existing continuous veno-venous hemodialysis circuit without much interruption to patient care. However, a disadvantage is that the size of the molecules removed is limited by the size of the pore of the filter. This is problematic because certain plasma molecules are larger than existing available filters, for example the ultra-large von Willebrand factor multimers can measure up to 12 million daltons.</w:t>
      </w:r>
    </w:p>
    <w:p w:rsidR="00155B11" w:rsidRDefault="00155B11"/>
    <w:p w:rsidR="00155B11" w:rsidRPr="00155B11" w:rsidRDefault="00155B11" w:rsidP="00155B11">
      <w:pPr>
        <w:pBdr>
          <w:bottom w:val="single" w:sz="6" w:space="0" w:color="97B0C8"/>
        </w:pBdr>
        <w:shd w:val="clear" w:color="auto" w:fill="FFFFFF"/>
        <w:spacing w:before="270" w:after="0" w:line="267" w:lineRule="atLeast"/>
        <w:outlineLvl w:val="1"/>
        <w:rPr>
          <w:rFonts w:ascii="Arial" w:eastAsia="Times New Roman" w:hAnsi="Arial" w:cs="Arial"/>
          <w:b/>
          <w:bCs/>
          <w:color w:val="985735"/>
          <w:sz w:val="27"/>
          <w:szCs w:val="27"/>
        </w:rPr>
      </w:pPr>
      <w:r w:rsidRPr="00155B11">
        <w:rPr>
          <w:rFonts w:ascii="Arial" w:eastAsia="Times New Roman" w:hAnsi="Arial" w:cs="Arial"/>
          <w:b/>
          <w:bCs/>
          <w:color w:val="985735"/>
          <w:sz w:val="27"/>
          <w:szCs w:val="27"/>
        </w:rPr>
        <w:t>Plasmapheresis/Plasma Exchange in Critically Ill Patients</w:t>
      </w:r>
    </w:p>
    <w:p w:rsidR="00155B11" w:rsidRPr="00155B11" w:rsidRDefault="00155B11" w:rsidP="00155B11">
      <w:pPr>
        <w:shd w:val="clear" w:color="auto" w:fill="FFFFFF"/>
        <w:spacing w:before="166" w:after="166" w:line="240" w:lineRule="auto"/>
        <w:rPr>
          <w:rFonts w:ascii="Times New Roman" w:eastAsia="Times New Roman" w:hAnsi="Times New Roman" w:cs="Times New Roman"/>
          <w:color w:val="000000"/>
          <w:sz w:val="24"/>
          <w:szCs w:val="24"/>
        </w:rPr>
      </w:pPr>
      <w:r w:rsidRPr="00155B11">
        <w:rPr>
          <w:rFonts w:ascii="Times New Roman" w:eastAsia="Times New Roman" w:hAnsi="Times New Roman" w:cs="Times New Roman"/>
          <w:color w:val="000000"/>
          <w:sz w:val="24"/>
          <w:szCs w:val="24"/>
        </w:rPr>
        <w:t>In 2010, The American Society for Apheresis (ASFA) published its updated comprehensive “Guideline on the Use of Therapeutic Apheresis in Clinical Practice-Evidence-Based Approach”.</w:t>
      </w:r>
      <w:hyperlink r:id="rId7" w:anchor="R1" w:history="1">
        <w:r w:rsidRPr="00155B11">
          <w:rPr>
            <w:rFonts w:ascii="Times New Roman" w:eastAsia="Times New Roman" w:hAnsi="Times New Roman" w:cs="Times New Roman"/>
            <w:color w:val="2F4A8B"/>
            <w:sz w:val="20"/>
            <w:szCs w:val="20"/>
            <w:u w:val="single"/>
            <w:vertAlign w:val="superscript"/>
          </w:rPr>
          <w:t>1</w:t>
        </w:r>
      </w:hyperlink>
      <w:r w:rsidRPr="00155B11">
        <w:rPr>
          <w:rFonts w:ascii="Times New Roman" w:eastAsia="Times New Roman" w:hAnsi="Times New Roman" w:cs="Times New Roman"/>
          <w:color w:val="000000"/>
          <w:sz w:val="24"/>
          <w:szCs w:val="24"/>
        </w:rPr>
        <w:t> The society divided its recommendations into four categories:</w:t>
      </w:r>
    </w:p>
    <w:p w:rsidR="00155B11" w:rsidRPr="00155B11" w:rsidRDefault="00155B11" w:rsidP="00155B11">
      <w:pPr>
        <w:numPr>
          <w:ilvl w:val="0"/>
          <w:numId w:val="1"/>
        </w:numPr>
        <w:shd w:val="clear" w:color="auto" w:fill="FFFFFF"/>
        <w:spacing w:before="166" w:after="166" w:line="240" w:lineRule="auto"/>
        <w:rPr>
          <w:rFonts w:ascii="Times New Roman" w:eastAsia="Times New Roman" w:hAnsi="Times New Roman" w:cs="Times New Roman"/>
          <w:color w:val="000000"/>
          <w:sz w:val="24"/>
          <w:szCs w:val="24"/>
        </w:rPr>
      </w:pPr>
      <w:r w:rsidRPr="00155B11">
        <w:rPr>
          <w:rFonts w:ascii="Times New Roman" w:eastAsia="Times New Roman" w:hAnsi="Times New Roman" w:cs="Times New Roman"/>
          <w:b/>
          <w:bCs/>
          <w:color w:val="000000"/>
          <w:sz w:val="24"/>
          <w:szCs w:val="24"/>
        </w:rPr>
        <w:t>Category I</w:t>
      </w:r>
      <w:r w:rsidRPr="00155B11">
        <w:rPr>
          <w:rFonts w:ascii="Times New Roman" w:eastAsia="Times New Roman" w:hAnsi="Times New Roman" w:cs="Times New Roman"/>
          <w:color w:val="000000"/>
          <w:sz w:val="24"/>
          <w:szCs w:val="24"/>
        </w:rPr>
        <w:t>: “Disorder for which apheresis is accepted as first-line therapy, either as a primary standalone treatment or in conjunction with other modes of treatment”.</w:t>
      </w:r>
    </w:p>
    <w:p w:rsidR="00155B11" w:rsidRPr="00155B11" w:rsidRDefault="00155B11" w:rsidP="00155B11">
      <w:pPr>
        <w:numPr>
          <w:ilvl w:val="0"/>
          <w:numId w:val="1"/>
        </w:numPr>
        <w:shd w:val="clear" w:color="auto" w:fill="FFFFFF"/>
        <w:spacing w:before="166" w:after="166" w:line="240" w:lineRule="auto"/>
        <w:rPr>
          <w:rFonts w:ascii="Times New Roman" w:eastAsia="Times New Roman" w:hAnsi="Times New Roman" w:cs="Times New Roman"/>
          <w:color w:val="000000"/>
          <w:sz w:val="24"/>
          <w:szCs w:val="24"/>
        </w:rPr>
      </w:pPr>
      <w:r w:rsidRPr="00155B11">
        <w:rPr>
          <w:rFonts w:ascii="Times New Roman" w:eastAsia="Times New Roman" w:hAnsi="Times New Roman" w:cs="Times New Roman"/>
          <w:b/>
          <w:bCs/>
          <w:color w:val="000000"/>
          <w:sz w:val="24"/>
          <w:szCs w:val="24"/>
        </w:rPr>
        <w:t>Category II</w:t>
      </w:r>
      <w:r w:rsidRPr="00155B11">
        <w:rPr>
          <w:rFonts w:ascii="Times New Roman" w:eastAsia="Times New Roman" w:hAnsi="Times New Roman" w:cs="Times New Roman"/>
          <w:color w:val="000000"/>
          <w:sz w:val="24"/>
          <w:szCs w:val="24"/>
        </w:rPr>
        <w:t>: “Disorders for which apheresis is accepted as second-line therapy, either as a standalone treatment or in conjunction with other modes of treatment”.</w:t>
      </w:r>
    </w:p>
    <w:p w:rsidR="00155B11" w:rsidRPr="00155B11" w:rsidRDefault="00155B11" w:rsidP="00155B11">
      <w:pPr>
        <w:numPr>
          <w:ilvl w:val="0"/>
          <w:numId w:val="1"/>
        </w:numPr>
        <w:shd w:val="clear" w:color="auto" w:fill="FFFFFF"/>
        <w:spacing w:before="166" w:after="166" w:line="240" w:lineRule="auto"/>
        <w:rPr>
          <w:rFonts w:ascii="Times New Roman" w:eastAsia="Times New Roman" w:hAnsi="Times New Roman" w:cs="Times New Roman"/>
          <w:color w:val="000000"/>
          <w:sz w:val="24"/>
          <w:szCs w:val="24"/>
        </w:rPr>
      </w:pPr>
      <w:r w:rsidRPr="00155B11">
        <w:rPr>
          <w:rFonts w:ascii="Times New Roman" w:eastAsia="Times New Roman" w:hAnsi="Times New Roman" w:cs="Times New Roman"/>
          <w:b/>
          <w:bCs/>
          <w:color w:val="000000"/>
          <w:sz w:val="24"/>
          <w:szCs w:val="24"/>
        </w:rPr>
        <w:t>Category III</w:t>
      </w:r>
      <w:r w:rsidRPr="00155B11">
        <w:rPr>
          <w:rFonts w:ascii="Times New Roman" w:eastAsia="Times New Roman" w:hAnsi="Times New Roman" w:cs="Times New Roman"/>
          <w:color w:val="000000"/>
          <w:sz w:val="24"/>
          <w:szCs w:val="24"/>
        </w:rPr>
        <w:t>: “Optimum role of apheresis therapy is not established. Decision making should be individualized”.</w:t>
      </w:r>
    </w:p>
    <w:p w:rsidR="00155B11" w:rsidRPr="00155B11" w:rsidRDefault="00155B11" w:rsidP="00155B11">
      <w:pPr>
        <w:numPr>
          <w:ilvl w:val="0"/>
          <w:numId w:val="1"/>
        </w:numPr>
        <w:shd w:val="clear" w:color="auto" w:fill="FFFFFF"/>
        <w:spacing w:before="166" w:after="166" w:line="240" w:lineRule="auto"/>
        <w:rPr>
          <w:rFonts w:ascii="Times New Roman" w:eastAsia="Times New Roman" w:hAnsi="Times New Roman" w:cs="Times New Roman"/>
          <w:color w:val="000000"/>
          <w:sz w:val="24"/>
          <w:szCs w:val="24"/>
        </w:rPr>
      </w:pPr>
      <w:r w:rsidRPr="00155B11">
        <w:rPr>
          <w:rFonts w:ascii="Times New Roman" w:eastAsia="Times New Roman" w:hAnsi="Times New Roman" w:cs="Times New Roman"/>
          <w:b/>
          <w:bCs/>
          <w:color w:val="000000"/>
          <w:sz w:val="24"/>
          <w:szCs w:val="24"/>
        </w:rPr>
        <w:t>Category IV</w:t>
      </w:r>
      <w:r w:rsidRPr="00155B11">
        <w:rPr>
          <w:rFonts w:ascii="Times New Roman" w:eastAsia="Times New Roman" w:hAnsi="Times New Roman" w:cs="Times New Roman"/>
          <w:color w:val="000000"/>
          <w:sz w:val="24"/>
          <w:szCs w:val="24"/>
        </w:rPr>
        <w:t>: “Disorders in which published evidence demonstrates or suggests apheresis to be ineffective or harmful. Internal Review Board approval is desirable if apheresis treatment is undertaken in these circumstances”.</w:t>
      </w:r>
    </w:p>
    <w:p w:rsidR="00155B11" w:rsidRPr="00155B11" w:rsidRDefault="00155B11" w:rsidP="00155B11">
      <w:pPr>
        <w:shd w:val="clear" w:color="auto" w:fill="FFFFFF"/>
        <w:spacing w:before="166" w:after="166" w:line="240" w:lineRule="auto"/>
        <w:rPr>
          <w:rFonts w:ascii="Times New Roman" w:eastAsia="Times New Roman" w:hAnsi="Times New Roman" w:cs="Times New Roman"/>
          <w:color w:val="000000"/>
          <w:sz w:val="24"/>
          <w:szCs w:val="24"/>
        </w:rPr>
      </w:pPr>
      <w:r w:rsidRPr="00155B11">
        <w:rPr>
          <w:rFonts w:ascii="Times New Roman" w:eastAsia="Times New Roman" w:hAnsi="Times New Roman" w:cs="Times New Roman"/>
          <w:color w:val="000000"/>
          <w:sz w:val="24"/>
          <w:szCs w:val="24"/>
        </w:rPr>
        <w:t>This chapter reviews many of the diseases in critically ill patients that plasmapheresis/therapeutic plasma exchange (TPE) may play a role in the therapeutic strategy.</w:t>
      </w:r>
    </w:p>
    <w:p w:rsidR="00155B11" w:rsidRDefault="00155B11"/>
    <w:p w:rsidR="00155B11" w:rsidRPr="00155B11" w:rsidRDefault="00155B11" w:rsidP="00155B11">
      <w:pPr>
        <w:pBdr>
          <w:bottom w:val="single" w:sz="6" w:space="0" w:color="97B0C8"/>
        </w:pBdr>
        <w:shd w:val="clear" w:color="auto" w:fill="FFFFFF"/>
        <w:spacing w:before="270" w:after="0" w:line="267" w:lineRule="atLeast"/>
        <w:outlineLvl w:val="1"/>
        <w:rPr>
          <w:rFonts w:ascii="Arial" w:eastAsia="Times New Roman" w:hAnsi="Arial" w:cs="Arial"/>
          <w:b/>
          <w:bCs/>
          <w:color w:val="985735"/>
          <w:sz w:val="27"/>
          <w:szCs w:val="27"/>
        </w:rPr>
      </w:pPr>
      <w:r w:rsidRPr="00155B11">
        <w:rPr>
          <w:rFonts w:ascii="Arial" w:eastAsia="Times New Roman" w:hAnsi="Arial" w:cs="Arial"/>
          <w:b/>
          <w:bCs/>
          <w:color w:val="985735"/>
          <w:sz w:val="27"/>
          <w:szCs w:val="27"/>
        </w:rPr>
        <w:t>Thrombotic Microangiopathies</w:t>
      </w:r>
    </w:p>
    <w:p w:rsidR="00155B11" w:rsidRPr="00155B11" w:rsidRDefault="00155B11" w:rsidP="00155B11">
      <w:pPr>
        <w:shd w:val="clear" w:color="auto" w:fill="FFFFFF"/>
        <w:spacing w:before="166" w:after="166" w:line="240" w:lineRule="auto"/>
        <w:rPr>
          <w:rFonts w:ascii="Times New Roman" w:eastAsia="Times New Roman" w:hAnsi="Times New Roman" w:cs="Times New Roman"/>
          <w:color w:val="000000"/>
          <w:sz w:val="24"/>
          <w:szCs w:val="24"/>
        </w:rPr>
      </w:pPr>
      <w:r w:rsidRPr="00155B11">
        <w:rPr>
          <w:rFonts w:ascii="Times New Roman" w:eastAsia="Times New Roman" w:hAnsi="Times New Roman" w:cs="Times New Roman"/>
          <w:color w:val="000000"/>
          <w:sz w:val="24"/>
          <w:szCs w:val="24"/>
        </w:rPr>
        <w:t>Thrombotic microangiopathies are syndromes associated with disseminated microvascular thrombosis.</w:t>
      </w:r>
      <w:hyperlink r:id="rId8" w:anchor="R2" w:history="1">
        <w:r w:rsidRPr="00155B11">
          <w:rPr>
            <w:rFonts w:ascii="Times New Roman" w:eastAsia="Times New Roman" w:hAnsi="Times New Roman" w:cs="Times New Roman"/>
            <w:color w:val="2F4A8B"/>
            <w:sz w:val="20"/>
            <w:szCs w:val="20"/>
            <w:u w:val="single"/>
            <w:vertAlign w:val="superscript"/>
          </w:rPr>
          <w:t>2</w:t>
        </w:r>
      </w:hyperlink>
      <w:r w:rsidRPr="00155B11">
        <w:rPr>
          <w:rFonts w:ascii="Times New Roman" w:eastAsia="Times New Roman" w:hAnsi="Times New Roman" w:cs="Times New Roman"/>
          <w:color w:val="000000"/>
          <w:sz w:val="24"/>
          <w:szCs w:val="24"/>
        </w:rPr>
        <w:t xml:space="preserve"> Clinically, these syndromes manifest as new onset thrombocytopenia and if untreated, will lead to multiple organ failure and death. Thrombotic Thrombocytopenic Purpura (TTP), Hemolytic Uremic Syndrome (HUS), Disseminated Intravascular Coagulation (DIC) and Catastrophic Antiphospholipid Syndrome (CAPS) are different spectrums of thrombotic microangiopathies. The ASFA gives a category I recommendation for plasmapheresis/therapeutic plasma exchange (TPE) in patients with TTP and atypical HUS due </w:t>
      </w:r>
      <w:r w:rsidRPr="00155B11">
        <w:rPr>
          <w:rFonts w:ascii="Times New Roman" w:eastAsia="Times New Roman" w:hAnsi="Times New Roman" w:cs="Times New Roman"/>
          <w:color w:val="000000"/>
          <w:sz w:val="24"/>
          <w:szCs w:val="24"/>
        </w:rPr>
        <w:lastRenderedPageBreak/>
        <w:t>to autoantibody to factor H, category II recommendation for TPE in patients with CAPS, and a category III recommendation for TPE in patients with Hematopoietic Stem Cell Transplant – Associated Thrombotic Microangiopathy.</w:t>
      </w:r>
      <w:hyperlink r:id="rId9" w:anchor="R1" w:history="1">
        <w:r w:rsidRPr="00155B11">
          <w:rPr>
            <w:rFonts w:ascii="Times New Roman" w:eastAsia="Times New Roman" w:hAnsi="Times New Roman" w:cs="Times New Roman"/>
            <w:color w:val="2F4A8B"/>
            <w:sz w:val="20"/>
            <w:szCs w:val="20"/>
            <w:u w:val="single"/>
            <w:vertAlign w:val="superscript"/>
          </w:rPr>
          <w:t>1</w:t>
        </w:r>
      </w:hyperlink>
    </w:p>
    <w:p w:rsidR="00155B11" w:rsidRDefault="00155B11"/>
    <w:p w:rsidR="00155B11" w:rsidRPr="00155B11" w:rsidRDefault="00155B11" w:rsidP="00155B11">
      <w:pPr>
        <w:shd w:val="clear" w:color="auto" w:fill="FFFFFF"/>
        <w:spacing w:before="308" w:after="154" w:line="300" w:lineRule="atLeast"/>
        <w:outlineLvl w:val="2"/>
        <w:rPr>
          <w:rFonts w:ascii="Arial" w:eastAsia="Times New Roman" w:hAnsi="Arial" w:cs="Arial"/>
          <w:b/>
          <w:bCs/>
          <w:color w:val="724128"/>
          <w:sz w:val="24"/>
          <w:szCs w:val="24"/>
        </w:rPr>
      </w:pPr>
      <w:r w:rsidRPr="00155B11">
        <w:rPr>
          <w:rFonts w:ascii="Arial" w:eastAsia="Times New Roman" w:hAnsi="Arial" w:cs="Arial"/>
          <w:b/>
          <w:bCs/>
          <w:color w:val="724128"/>
          <w:sz w:val="24"/>
          <w:szCs w:val="24"/>
        </w:rPr>
        <w:t>Thrombotic Thrombocytopenic Purpura (TTP)</w:t>
      </w:r>
    </w:p>
    <w:p w:rsidR="00155B11" w:rsidRPr="00155B11" w:rsidRDefault="00155B11" w:rsidP="00155B11">
      <w:pPr>
        <w:shd w:val="clear" w:color="auto" w:fill="FFFFFF"/>
        <w:spacing w:before="166" w:after="166" w:line="240" w:lineRule="auto"/>
        <w:rPr>
          <w:rFonts w:ascii="Times New Roman" w:eastAsia="Times New Roman" w:hAnsi="Times New Roman" w:cs="Times New Roman"/>
          <w:color w:val="000000"/>
          <w:sz w:val="24"/>
          <w:szCs w:val="24"/>
        </w:rPr>
      </w:pPr>
      <w:r w:rsidRPr="00155B11">
        <w:rPr>
          <w:rFonts w:ascii="Times New Roman" w:eastAsia="Times New Roman" w:hAnsi="Times New Roman" w:cs="Times New Roman"/>
          <w:color w:val="000000"/>
          <w:sz w:val="24"/>
          <w:szCs w:val="24"/>
        </w:rPr>
        <w:t>The classic “pentad” of TTP is composed of: thrombocytopenia, microangiopathic hemolytic anemia, neurologic abnormalities, renal failure, and fever. The underlying pathophysiologic process of TTP is the deficiency of ADAMTS-13 (a.k.a. von Willebrand factor (VWF) -cleaving proteinase) leading to uncleaved thrombogenic large and ultra-large VWF.</w:t>
      </w:r>
      <w:hyperlink r:id="rId10" w:anchor="R2" w:history="1">
        <w:r w:rsidRPr="00155B11">
          <w:rPr>
            <w:rFonts w:ascii="Times New Roman" w:eastAsia="Times New Roman" w:hAnsi="Times New Roman" w:cs="Times New Roman"/>
            <w:color w:val="2F4A8B"/>
            <w:sz w:val="20"/>
            <w:szCs w:val="20"/>
            <w:u w:val="single"/>
            <w:vertAlign w:val="superscript"/>
          </w:rPr>
          <w:t>2</w:t>
        </w:r>
      </w:hyperlink>
      <w:r w:rsidRPr="00155B11">
        <w:rPr>
          <w:rFonts w:ascii="Times New Roman" w:eastAsia="Times New Roman" w:hAnsi="Times New Roman" w:cs="Times New Roman"/>
          <w:color w:val="000000"/>
          <w:sz w:val="24"/>
          <w:szCs w:val="24"/>
        </w:rPr>
        <w:t> Autopsies on patients who died from TTP demonstrate distinctive VWF- and platelet-rich microthrombi.</w:t>
      </w:r>
      <w:hyperlink r:id="rId11" w:anchor="R3" w:history="1">
        <w:r w:rsidRPr="00155B11">
          <w:rPr>
            <w:rFonts w:ascii="Times New Roman" w:eastAsia="Times New Roman" w:hAnsi="Times New Roman" w:cs="Times New Roman"/>
            <w:color w:val="2F4A8B"/>
            <w:sz w:val="20"/>
            <w:szCs w:val="20"/>
            <w:u w:val="single"/>
            <w:vertAlign w:val="superscript"/>
          </w:rPr>
          <w:t>3</w:t>
        </w:r>
      </w:hyperlink>
      <w:r w:rsidRPr="00155B11">
        <w:rPr>
          <w:rFonts w:ascii="Times New Roman" w:eastAsia="Times New Roman" w:hAnsi="Times New Roman" w:cs="Times New Roman"/>
          <w:color w:val="000000"/>
          <w:sz w:val="20"/>
          <w:szCs w:val="20"/>
          <w:vertAlign w:val="superscript"/>
        </w:rPr>
        <w:t>–</w:t>
      </w:r>
      <w:hyperlink r:id="rId12" w:anchor="R6" w:history="1">
        <w:r w:rsidRPr="00155B11">
          <w:rPr>
            <w:rFonts w:ascii="Times New Roman" w:eastAsia="Times New Roman" w:hAnsi="Times New Roman" w:cs="Times New Roman"/>
            <w:color w:val="2F4A8B"/>
            <w:sz w:val="20"/>
            <w:szCs w:val="20"/>
            <w:u w:val="single"/>
            <w:vertAlign w:val="superscript"/>
          </w:rPr>
          <w:t>6</w:t>
        </w:r>
      </w:hyperlink>
      <w:r w:rsidRPr="00155B11">
        <w:rPr>
          <w:rFonts w:ascii="Times New Roman" w:eastAsia="Times New Roman" w:hAnsi="Times New Roman" w:cs="Times New Roman"/>
          <w:color w:val="000000"/>
          <w:sz w:val="24"/>
          <w:szCs w:val="24"/>
        </w:rPr>
        <w:t> There are two forms of TTP, congenital and acquired. In the congenital form, there is a genetic abnormality in ADAMTS-13.</w:t>
      </w:r>
      <w:hyperlink r:id="rId13" w:anchor="R7" w:history="1">
        <w:r w:rsidRPr="00155B11">
          <w:rPr>
            <w:rFonts w:ascii="Times New Roman" w:eastAsia="Times New Roman" w:hAnsi="Times New Roman" w:cs="Times New Roman"/>
            <w:color w:val="2F4A8B"/>
            <w:sz w:val="20"/>
            <w:szCs w:val="20"/>
            <w:u w:val="single"/>
            <w:vertAlign w:val="superscript"/>
          </w:rPr>
          <w:t>7</w:t>
        </w:r>
      </w:hyperlink>
      <w:r w:rsidRPr="00155B11">
        <w:rPr>
          <w:rFonts w:ascii="Times New Roman" w:eastAsia="Times New Roman" w:hAnsi="Times New Roman" w:cs="Times New Roman"/>
          <w:color w:val="000000"/>
          <w:sz w:val="24"/>
          <w:szCs w:val="24"/>
        </w:rPr>
        <w:t> In the acquired form, ADAMTS-13 inhibitors and/or proteolytic inactivators are present in the plasma.</w:t>
      </w:r>
      <w:hyperlink r:id="rId14" w:anchor="R8" w:history="1">
        <w:r w:rsidRPr="00155B11">
          <w:rPr>
            <w:rFonts w:ascii="Times New Roman" w:eastAsia="Times New Roman" w:hAnsi="Times New Roman" w:cs="Times New Roman"/>
            <w:color w:val="2F4A8B"/>
            <w:sz w:val="20"/>
            <w:szCs w:val="20"/>
            <w:u w:val="single"/>
            <w:vertAlign w:val="superscript"/>
          </w:rPr>
          <w:t>8</w:t>
        </w:r>
      </w:hyperlink>
      <w:r w:rsidRPr="00155B11">
        <w:rPr>
          <w:rFonts w:ascii="Times New Roman" w:eastAsia="Times New Roman" w:hAnsi="Times New Roman" w:cs="Times New Roman"/>
          <w:color w:val="000000"/>
          <w:sz w:val="20"/>
          <w:szCs w:val="20"/>
          <w:vertAlign w:val="superscript"/>
        </w:rPr>
        <w:t>,</w:t>
      </w:r>
      <w:hyperlink r:id="rId15" w:anchor="R9" w:history="1">
        <w:r w:rsidRPr="00155B11">
          <w:rPr>
            <w:rFonts w:ascii="Times New Roman" w:eastAsia="Times New Roman" w:hAnsi="Times New Roman" w:cs="Times New Roman"/>
            <w:color w:val="2F4A8B"/>
            <w:sz w:val="20"/>
            <w:szCs w:val="20"/>
            <w:u w:val="single"/>
            <w:vertAlign w:val="superscript"/>
          </w:rPr>
          <w:t>9</w:t>
        </w:r>
      </w:hyperlink>
      <w:r w:rsidRPr="00155B11">
        <w:rPr>
          <w:rFonts w:ascii="Times New Roman" w:eastAsia="Times New Roman" w:hAnsi="Times New Roman" w:cs="Times New Roman"/>
          <w:color w:val="000000"/>
          <w:sz w:val="24"/>
          <w:szCs w:val="24"/>
        </w:rPr>
        <w:t> There is a growing list of ADAMTS-13 inhibitors and proteolytic inactivators including interleukin-6, plasma-free hemoglobin, IgG auto-antibody, Shiga toxin, plasmin, thrombin, and granulocyte elastase.</w:t>
      </w:r>
      <w:hyperlink r:id="rId16" w:anchor="R9" w:history="1">
        <w:r w:rsidRPr="00155B11">
          <w:rPr>
            <w:rFonts w:ascii="Times New Roman" w:eastAsia="Times New Roman" w:hAnsi="Times New Roman" w:cs="Times New Roman"/>
            <w:color w:val="2F4A8B"/>
            <w:sz w:val="20"/>
            <w:szCs w:val="20"/>
            <w:u w:val="single"/>
            <w:vertAlign w:val="superscript"/>
          </w:rPr>
          <w:t>9</w:t>
        </w:r>
      </w:hyperlink>
      <w:r w:rsidRPr="00155B11">
        <w:rPr>
          <w:rFonts w:ascii="Times New Roman" w:eastAsia="Times New Roman" w:hAnsi="Times New Roman" w:cs="Times New Roman"/>
          <w:color w:val="000000"/>
          <w:sz w:val="20"/>
          <w:szCs w:val="20"/>
          <w:vertAlign w:val="superscript"/>
        </w:rPr>
        <w:t>–</w:t>
      </w:r>
      <w:hyperlink r:id="rId17" w:anchor="R14" w:history="1">
        <w:r w:rsidRPr="00155B11">
          <w:rPr>
            <w:rFonts w:ascii="Times New Roman" w:eastAsia="Times New Roman" w:hAnsi="Times New Roman" w:cs="Times New Roman"/>
            <w:color w:val="2F4A8B"/>
            <w:sz w:val="20"/>
            <w:szCs w:val="20"/>
            <w:u w:val="single"/>
            <w:vertAlign w:val="superscript"/>
          </w:rPr>
          <w:t>14</w:t>
        </w:r>
      </w:hyperlink>
      <w:r w:rsidRPr="00155B11">
        <w:rPr>
          <w:rFonts w:ascii="Times New Roman" w:eastAsia="Times New Roman" w:hAnsi="Times New Roman" w:cs="Times New Roman"/>
          <w:color w:val="000000"/>
          <w:sz w:val="24"/>
          <w:szCs w:val="24"/>
        </w:rPr>
        <w:t> TPE has been shown in a large randomized controlled trial to significantly improve survival compared to plasma infusion.</w:t>
      </w:r>
      <w:hyperlink r:id="rId18" w:anchor="R15" w:history="1">
        <w:r w:rsidRPr="00155B11">
          <w:rPr>
            <w:rFonts w:ascii="Times New Roman" w:eastAsia="Times New Roman" w:hAnsi="Times New Roman" w:cs="Times New Roman"/>
            <w:color w:val="2F4A8B"/>
            <w:sz w:val="20"/>
            <w:szCs w:val="20"/>
            <w:u w:val="single"/>
            <w:vertAlign w:val="superscript"/>
          </w:rPr>
          <w:t>15</w:t>
        </w:r>
      </w:hyperlink>
      <w:r w:rsidRPr="00155B11">
        <w:rPr>
          <w:rFonts w:ascii="Times New Roman" w:eastAsia="Times New Roman" w:hAnsi="Times New Roman" w:cs="Times New Roman"/>
          <w:color w:val="000000"/>
          <w:sz w:val="24"/>
          <w:szCs w:val="24"/>
        </w:rPr>
        <w:t> The ASFA gives a category I recommendation for TPE in TTP.</w:t>
      </w:r>
      <w:hyperlink r:id="rId19" w:anchor="R1" w:history="1">
        <w:r w:rsidRPr="00155B11">
          <w:rPr>
            <w:rFonts w:ascii="Times New Roman" w:eastAsia="Times New Roman" w:hAnsi="Times New Roman" w:cs="Times New Roman"/>
            <w:color w:val="2F4A8B"/>
            <w:sz w:val="20"/>
            <w:szCs w:val="20"/>
            <w:u w:val="single"/>
            <w:vertAlign w:val="superscript"/>
          </w:rPr>
          <w:t>1</w:t>
        </w:r>
      </w:hyperlink>
    </w:p>
    <w:p w:rsidR="00155B11" w:rsidRPr="00155B11" w:rsidRDefault="00155B11" w:rsidP="00155B11">
      <w:pPr>
        <w:shd w:val="clear" w:color="auto" w:fill="FFFFFF"/>
        <w:spacing w:before="166" w:after="166" w:line="240" w:lineRule="auto"/>
        <w:rPr>
          <w:rFonts w:ascii="Times New Roman" w:eastAsia="Times New Roman" w:hAnsi="Times New Roman" w:cs="Times New Roman"/>
          <w:color w:val="000000"/>
          <w:sz w:val="24"/>
          <w:szCs w:val="24"/>
        </w:rPr>
      </w:pPr>
      <w:r w:rsidRPr="00155B11">
        <w:rPr>
          <w:rFonts w:ascii="Times New Roman" w:eastAsia="Times New Roman" w:hAnsi="Times New Roman" w:cs="Times New Roman"/>
          <w:color w:val="000000"/>
          <w:sz w:val="24"/>
          <w:szCs w:val="24"/>
        </w:rPr>
        <w:t>TPE is thought to remove the large and ultra-large VWF, remove the ADAMTS-13 inhibitors and proteolytic inactivators, and replenish ADAMTS-13.</w:t>
      </w:r>
      <w:hyperlink r:id="rId20" w:anchor="R2" w:history="1">
        <w:r w:rsidRPr="00155B11">
          <w:rPr>
            <w:rFonts w:ascii="Times New Roman" w:eastAsia="Times New Roman" w:hAnsi="Times New Roman" w:cs="Times New Roman"/>
            <w:color w:val="2F4A8B"/>
            <w:sz w:val="20"/>
            <w:szCs w:val="20"/>
            <w:u w:val="single"/>
            <w:vertAlign w:val="superscript"/>
          </w:rPr>
          <w:t>2</w:t>
        </w:r>
      </w:hyperlink>
      <w:r w:rsidRPr="00155B11">
        <w:rPr>
          <w:rFonts w:ascii="Times New Roman" w:eastAsia="Times New Roman" w:hAnsi="Times New Roman" w:cs="Times New Roman"/>
          <w:color w:val="000000"/>
          <w:sz w:val="24"/>
          <w:szCs w:val="24"/>
        </w:rPr>
        <w:t> Because the underlying pathology is the deficiency of ADAMTS-13, the recommended TPE replacement fluid is plasma or plasma with cryoprecipitate removed (i.e. the plasma portion that is depleted with ultra-large VWF and large plasma VWF).</w:t>
      </w:r>
    </w:p>
    <w:p w:rsidR="00155B11" w:rsidRPr="00155B11" w:rsidRDefault="00155B11" w:rsidP="00155B11">
      <w:pPr>
        <w:shd w:val="clear" w:color="auto" w:fill="FFFFFF"/>
        <w:spacing w:before="308" w:after="154" w:line="300" w:lineRule="atLeast"/>
        <w:outlineLvl w:val="2"/>
        <w:rPr>
          <w:rFonts w:ascii="Arial" w:eastAsia="Times New Roman" w:hAnsi="Arial" w:cs="Arial"/>
          <w:b/>
          <w:bCs/>
          <w:color w:val="724128"/>
          <w:sz w:val="24"/>
          <w:szCs w:val="24"/>
        </w:rPr>
      </w:pPr>
      <w:r w:rsidRPr="00155B11">
        <w:rPr>
          <w:rFonts w:ascii="Arial" w:eastAsia="Times New Roman" w:hAnsi="Arial" w:cs="Arial"/>
          <w:b/>
          <w:bCs/>
          <w:color w:val="724128"/>
          <w:sz w:val="24"/>
          <w:szCs w:val="24"/>
        </w:rPr>
        <w:t>Typical Hemolytic Uremic Syndrome (HUS)</w:t>
      </w:r>
    </w:p>
    <w:p w:rsidR="00155B11" w:rsidRPr="00155B11" w:rsidRDefault="00155B11" w:rsidP="00155B11">
      <w:pPr>
        <w:shd w:val="clear" w:color="auto" w:fill="FFFFFF"/>
        <w:spacing w:before="166" w:after="166" w:line="240" w:lineRule="auto"/>
        <w:rPr>
          <w:rFonts w:ascii="Times New Roman" w:eastAsia="Times New Roman" w:hAnsi="Times New Roman" w:cs="Times New Roman"/>
          <w:color w:val="000000"/>
          <w:sz w:val="24"/>
          <w:szCs w:val="24"/>
        </w:rPr>
      </w:pPr>
      <w:r w:rsidRPr="00155B11">
        <w:rPr>
          <w:rFonts w:ascii="Times New Roman" w:eastAsia="Times New Roman" w:hAnsi="Times New Roman" w:cs="Times New Roman"/>
          <w:color w:val="000000"/>
          <w:sz w:val="24"/>
          <w:szCs w:val="24"/>
        </w:rPr>
        <w:t>The “triad” of HUS is thrombocytopenia, microangiopathic hemolytic anemia, and renal failure.</w:t>
      </w:r>
      <w:hyperlink r:id="rId21" w:anchor="R2" w:history="1">
        <w:r w:rsidRPr="00155B11">
          <w:rPr>
            <w:rFonts w:ascii="Times New Roman" w:eastAsia="Times New Roman" w:hAnsi="Times New Roman" w:cs="Times New Roman"/>
            <w:color w:val="2F4A8B"/>
            <w:sz w:val="20"/>
            <w:szCs w:val="20"/>
            <w:u w:val="single"/>
            <w:vertAlign w:val="superscript"/>
          </w:rPr>
          <w:t>2</w:t>
        </w:r>
      </w:hyperlink>
      <w:r w:rsidRPr="00155B11">
        <w:rPr>
          <w:rFonts w:ascii="Times New Roman" w:eastAsia="Times New Roman" w:hAnsi="Times New Roman" w:cs="Times New Roman"/>
          <w:color w:val="000000"/>
          <w:sz w:val="24"/>
          <w:szCs w:val="24"/>
        </w:rPr>
        <w:t> This syndrome is divided into typical HUS and atypical HUS. Typical HUS, which accounts for 85–90% of all HUS, is commonly associated with infection and diarrhea.</w:t>
      </w:r>
      <w:hyperlink r:id="rId22" w:anchor="R16" w:history="1">
        <w:r w:rsidRPr="00155B11">
          <w:rPr>
            <w:rFonts w:ascii="Times New Roman" w:eastAsia="Times New Roman" w:hAnsi="Times New Roman" w:cs="Times New Roman"/>
            <w:color w:val="2F4A8B"/>
            <w:sz w:val="20"/>
            <w:szCs w:val="20"/>
            <w:u w:val="single"/>
            <w:vertAlign w:val="superscript"/>
          </w:rPr>
          <w:t>16</w:t>
        </w:r>
      </w:hyperlink>
      <w:r w:rsidRPr="00155B11">
        <w:rPr>
          <w:rFonts w:ascii="Times New Roman" w:eastAsia="Times New Roman" w:hAnsi="Times New Roman" w:cs="Times New Roman"/>
          <w:color w:val="000000"/>
          <w:sz w:val="20"/>
          <w:szCs w:val="20"/>
          <w:vertAlign w:val="superscript"/>
        </w:rPr>
        <w:t>,</w:t>
      </w:r>
      <w:hyperlink r:id="rId23" w:anchor="R17" w:history="1">
        <w:r w:rsidRPr="00155B11">
          <w:rPr>
            <w:rFonts w:ascii="Times New Roman" w:eastAsia="Times New Roman" w:hAnsi="Times New Roman" w:cs="Times New Roman"/>
            <w:color w:val="2F4A8B"/>
            <w:sz w:val="20"/>
            <w:szCs w:val="20"/>
            <w:u w:val="single"/>
            <w:vertAlign w:val="superscript"/>
          </w:rPr>
          <w:t>17</w:t>
        </w:r>
      </w:hyperlink>
      <w:r w:rsidRPr="00155B11">
        <w:rPr>
          <w:rFonts w:ascii="Times New Roman" w:eastAsia="Times New Roman" w:hAnsi="Times New Roman" w:cs="Times New Roman"/>
          <w:color w:val="000000"/>
          <w:sz w:val="24"/>
          <w:szCs w:val="24"/>
        </w:rPr>
        <w:t> Shiga toxin-producing Escherichia coli 0157:H7 accounts for the majority of typical HUS with a mortality of &lt;5%. Shiga toxin has been shown </w:t>
      </w:r>
      <w:r w:rsidRPr="00155B11">
        <w:rPr>
          <w:rFonts w:ascii="Times New Roman" w:eastAsia="Times New Roman" w:hAnsi="Times New Roman" w:cs="Times New Roman"/>
          <w:i/>
          <w:iCs/>
          <w:color w:val="000000"/>
          <w:sz w:val="24"/>
          <w:szCs w:val="24"/>
        </w:rPr>
        <w:t>in vitr</w:t>
      </w:r>
      <w:r w:rsidRPr="00155B11">
        <w:rPr>
          <w:rFonts w:ascii="Times New Roman" w:eastAsia="Times New Roman" w:hAnsi="Times New Roman" w:cs="Times New Roman"/>
          <w:color w:val="000000"/>
          <w:sz w:val="24"/>
          <w:szCs w:val="24"/>
        </w:rPr>
        <w:t>o to 1) induce ultra-large VWF to be released from endothelium, and 2) inhibit ADAMTS-13, similar to the pathophysiology of TTP. However, clinical association studies have not consistently shown severe ADAMTS-13 deficiency in Escherichia coli 0157:H7-induced HUS.</w:t>
      </w:r>
      <w:hyperlink r:id="rId24" w:anchor="R6" w:history="1">
        <w:r w:rsidRPr="00155B11">
          <w:rPr>
            <w:rFonts w:ascii="Times New Roman" w:eastAsia="Times New Roman" w:hAnsi="Times New Roman" w:cs="Times New Roman"/>
            <w:color w:val="2F4A8B"/>
            <w:sz w:val="20"/>
            <w:szCs w:val="20"/>
            <w:u w:val="single"/>
            <w:vertAlign w:val="superscript"/>
          </w:rPr>
          <w:t>6</w:t>
        </w:r>
      </w:hyperlink>
      <w:r w:rsidRPr="00155B11">
        <w:rPr>
          <w:rFonts w:ascii="Times New Roman" w:eastAsia="Times New Roman" w:hAnsi="Times New Roman" w:cs="Times New Roman"/>
          <w:color w:val="000000"/>
          <w:sz w:val="24"/>
          <w:szCs w:val="24"/>
        </w:rPr>
        <w:t> Certain neuramidase producing-bacteria, such as Streptococcus pneumonia, account for a minority of typical HUS and has a higher mortality when compared to that of typical HUS with a mortality rate of 19–50%. Neuramidase has been shown to cleave sialic acid residues from cell surface protein exposing the Thomsen-Freidenreich (T-) antigen. HUS occurs when endogenous IgM directed against the T-antigen binds to the exposed T-antigen on endothelium, red blood cells, and platelets resulting in platelet-rich thrombi formation in the microvasculature. Currently, the ASFA does not recommend TPE (category IV) for typical HUS.</w:t>
      </w:r>
      <w:hyperlink r:id="rId25" w:anchor="R1" w:history="1">
        <w:r w:rsidRPr="00155B11">
          <w:rPr>
            <w:rFonts w:ascii="Times New Roman" w:eastAsia="Times New Roman" w:hAnsi="Times New Roman" w:cs="Times New Roman"/>
            <w:color w:val="2F4A8B"/>
            <w:sz w:val="20"/>
            <w:szCs w:val="20"/>
            <w:u w:val="single"/>
            <w:vertAlign w:val="superscript"/>
          </w:rPr>
          <w:t>1</w:t>
        </w:r>
      </w:hyperlink>
    </w:p>
    <w:p w:rsidR="00155B11" w:rsidRPr="00155B11" w:rsidRDefault="00155B11" w:rsidP="00155B11">
      <w:pPr>
        <w:shd w:val="clear" w:color="auto" w:fill="FFFFFF"/>
        <w:spacing w:before="308" w:after="154" w:line="300" w:lineRule="atLeast"/>
        <w:outlineLvl w:val="2"/>
        <w:rPr>
          <w:rFonts w:ascii="Arial" w:eastAsia="Times New Roman" w:hAnsi="Arial" w:cs="Arial"/>
          <w:b/>
          <w:bCs/>
          <w:color w:val="724128"/>
          <w:sz w:val="24"/>
          <w:szCs w:val="24"/>
        </w:rPr>
      </w:pPr>
      <w:r w:rsidRPr="00155B11">
        <w:rPr>
          <w:rFonts w:ascii="Arial" w:eastAsia="Times New Roman" w:hAnsi="Arial" w:cs="Arial"/>
          <w:b/>
          <w:bCs/>
          <w:color w:val="724128"/>
          <w:sz w:val="24"/>
          <w:szCs w:val="24"/>
        </w:rPr>
        <w:t>Atypical Hemolytic Uremic Syndrome</w:t>
      </w:r>
    </w:p>
    <w:p w:rsidR="00155B11" w:rsidRPr="00155B11" w:rsidRDefault="00155B11" w:rsidP="00155B11">
      <w:pPr>
        <w:shd w:val="clear" w:color="auto" w:fill="FFFFFF"/>
        <w:spacing w:before="166" w:after="166" w:line="240" w:lineRule="auto"/>
        <w:rPr>
          <w:rFonts w:ascii="Times New Roman" w:eastAsia="Times New Roman" w:hAnsi="Times New Roman" w:cs="Times New Roman"/>
          <w:color w:val="000000"/>
          <w:sz w:val="24"/>
          <w:szCs w:val="24"/>
        </w:rPr>
      </w:pPr>
      <w:r w:rsidRPr="00155B11">
        <w:rPr>
          <w:rFonts w:ascii="Times New Roman" w:eastAsia="Times New Roman" w:hAnsi="Times New Roman" w:cs="Times New Roman"/>
          <w:color w:val="000000"/>
          <w:sz w:val="24"/>
          <w:szCs w:val="24"/>
        </w:rPr>
        <w:lastRenderedPageBreak/>
        <w:t>In atypical HUS, in addition to the typical “triad” of signs and symptoms, patients have neurologic abnormalities beyond that of the usual “irritability” seen in most children with typical HUS. Investigation into pathophysiology of atypical HUS has identified two different processes, genetic abnormalities or acquired autoantibodies. Currently, it is thought that up to 60% of patients with atypical HUS have genetic abnormalities in the complement pathway.</w:t>
      </w:r>
      <w:hyperlink r:id="rId26" w:anchor="R17" w:history="1">
        <w:r w:rsidRPr="00155B11">
          <w:rPr>
            <w:rFonts w:ascii="Times New Roman" w:eastAsia="Times New Roman" w:hAnsi="Times New Roman" w:cs="Times New Roman"/>
            <w:color w:val="2F4A8B"/>
            <w:sz w:val="20"/>
            <w:szCs w:val="20"/>
            <w:u w:val="single"/>
            <w:vertAlign w:val="superscript"/>
          </w:rPr>
          <w:t>17</w:t>
        </w:r>
      </w:hyperlink>
      <w:r w:rsidRPr="00155B11">
        <w:rPr>
          <w:rFonts w:ascii="Times New Roman" w:eastAsia="Times New Roman" w:hAnsi="Times New Roman" w:cs="Times New Roman"/>
          <w:color w:val="000000"/>
          <w:sz w:val="24"/>
          <w:szCs w:val="24"/>
        </w:rPr>
        <w:t> Autoantibodies against factor H have been observed in up to 10% of patients with atypical HUS.</w:t>
      </w:r>
      <w:hyperlink r:id="rId27" w:anchor="R17" w:history="1">
        <w:r w:rsidRPr="00155B11">
          <w:rPr>
            <w:rFonts w:ascii="Times New Roman" w:eastAsia="Times New Roman" w:hAnsi="Times New Roman" w:cs="Times New Roman"/>
            <w:color w:val="2F4A8B"/>
            <w:sz w:val="20"/>
            <w:szCs w:val="20"/>
            <w:u w:val="single"/>
            <w:vertAlign w:val="superscript"/>
          </w:rPr>
          <w:t>17</w:t>
        </w:r>
      </w:hyperlink>
      <w:r w:rsidRPr="00155B11">
        <w:rPr>
          <w:rFonts w:ascii="Times New Roman" w:eastAsia="Times New Roman" w:hAnsi="Times New Roman" w:cs="Times New Roman"/>
          <w:color w:val="000000"/>
          <w:sz w:val="24"/>
          <w:szCs w:val="24"/>
        </w:rPr>
        <w:t> In either case, there is uncontrolled activation of the alternative complement pathway, resulting in direct injury to the microvasculature. Atypical HUS has a reported mortality rate of 25%.</w:t>
      </w:r>
      <w:hyperlink r:id="rId28" w:anchor="R17" w:history="1">
        <w:r w:rsidRPr="00155B11">
          <w:rPr>
            <w:rFonts w:ascii="Times New Roman" w:eastAsia="Times New Roman" w:hAnsi="Times New Roman" w:cs="Times New Roman"/>
            <w:color w:val="2F4A8B"/>
            <w:sz w:val="20"/>
            <w:szCs w:val="20"/>
            <w:u w:val="single"/>
            <w:vertAlign w:val="superscript"/>
          </w:rPr>
          <w:t>17</w:t>
        </w:r>
      </w:hyperlink>
    </w:p>
    <w:p w:rsidR="00155B11" w:rsidRPr="00155B11" w:rsidRDefault="00155B11" w:rsidP="00155B11">
      <w:pPr>
        <w:shd w:val="clear" w:color="auto" w:fill="FFFFFF"/>
        <w:spacing w:before="166" w:after="166" w:line="240" w:lineRule="auto"/>
        <w:rPr>
          <w:rFonts w:ascii="Times New Roman" w:eastAsia="Times New Roman" w:hAnsi="Times New Roman" w:cs="Times New Roman"/>
          <w:color w:val="000000"/>
          <w:sz w:val="24"/>
          <w:szCs w:val="24"/>
        </w:rPr>
      </w:pPr>
      <w:r w:rsidRPr="00155B11">
        <w:rPr>
          <w:rFonts w:ascii="Times New Roman" w:eastAsia="Times New Roman" w:hAnsi="Times New Roman" w:cs="Times New Roman"/>
          <w:color w:val="000000"/>
          <w:sz w:val="24"/>
          <w:szCs w:val="24"/>
        </w:rPr>
        <w:t>The ASFA gives a category I recommendation for TPE in atypical HUS due to autoantibody to factor H. </w:t>
      </w:r>
      <w:hyperlink r:id="rId29" w:anchor="R1" w:history="1">
        <w:r w:rsidRPr="00155B11">
          <w:rPr>
            <w:rFonts w:ascii="Times New Roman" w:eastAsia="Times New Roman" w:hAnsi="Times New Roman" w:cs="Times New Roman"/>
            <w:color w:val="2F4A8B"/>
            <w:sz w:val="20"/>
            <w:szCs w:val="20"/>
            <w:u w:val="single"/>
            <w:vertAlign w:val="superscript"/>
          </w:rPr>
          <w:t>1</w:t>
        </w:r>
      </w:hyperlink>
      <w:r w:rsidRPr="00155B11">
        <w:rPr>
          <w:rFonts w:ascii="Times New Roman" w:eastAsia="Times New Roman" w:hAnsi="Times New Roman" w:cs="Times New Roman"/>
          <w:color w:val="000000"/>
          <w:sz w:val="24"/>
          <w:szCs w:val="24"/>
        </w:rPr>
        <w:t> Factor H regulates and inhibits the alternative pathway of the complement pathway. TPE is thought to remove the autoantibody to factor H and normalize complement activities.</w:t>
      </w:r>
      <w:hyperlink r:id="rId30" w:anchor="R18" w:history="1">
        <w:r w:rsidRPr="00155B11">
          <w:rPr>
            <w:rFonts w:ascii="Times New Roman" w:eastAsia="Times New Roman" w:hAnsi="Times New Roman" w:cs="Times New Roman"/>
            <w:color w:val="2F4A8B"/>
            <w:sz w:val="20"/>
            <w:szCs w:val="20"/>
            <w:u w:val="single"/>
            <w:vertAlign w:val="superscript"/>
          </w:rPr>
          <w:t>18</w:t>
        </w:r>
      </w:hyperlink>
    </w:p>
    <w:p w:rsidR="00155B11" w:rsidRPr="00155B11" w:rsidRDefault="00155B11" w:rsidP="00155B11">
      <w:pPr>
        <w:shd w:val="clear" w:color="auto" w:fill="FFFFFF"/>
        <w:spacing w:before="166" w:after="166" w:line="240" w:lineRule="auto"/>
        <w:rPr>
          <w:rFonts w:ascii="Times New Roman" w:eastAsia="Times New Roman" w:hAnsi="Times New Roman" w:cs="Times New Roman"/>
          <w:color w:val="000000"/>
          <w:sz w:val="24"/>
          <w:szCs w:val="24"/>
        </w:rPr>
      </w:pPr>
      <w:r w:rsidRPr="00155B11">
        <w:rPr>
          <w:rFonts w:ascii="Times New Roman" w:eastAsia="Times New Roman" w:hAnsi="Times New Roman" w:cs="Times New Roman"/>
          <w:color w:val="000000"/>
          <w:sz w:val="24"/>
          <w:szCs w:val="24"/>
        </w:rPr>
        <w:t>The ASFA gives a category II recommendation for TPE in atypical HUS due to complement factor gene mutations.</w:t>
      </w:r>
      <w:hyperlink r:id="rId31" w:anchor="R1" w:history="1">
        <w:r w:rsidRPr="00155B11">
          <w:rPr>
            <w:rFonts w:ascii="Times New Roman" w:eastAsia="Times New Roman" w:hAnsi="Times New Roman" w:cs="Times New Roman"/>
            <w:color w:val="2F4A8B"/>
            <w:sz w:val="20"/>
            <w:szCs w:val="20"/>
            <w:u w:val="single"/>
            <w:vertAlign w:val="superscript"/>
          </w:rPr>
          <w:t>1</w:t>
        </w:r>
      </w:hyperlink>
      <w:r w:rsidRPr="00155B11">
        <w:rPr>
          <w:rFonts w:ascii="Times New Roman" w:eastAsia="Times New Roman" w:hAnsi="Times New Roman" w:cs="Times New Roman"/>
          <w:color w:val="000000"/>
          <w:sz w:val="24"/>
          <w:szCs w:val="24"/>
        </w:rPr>
        <w:t> These genes include inhibitors of alternative complement pathways such as factor H, factor I, membrane cofactor protein, complement factor H-related proteins, and C4b binding protein. Gain-of-function mutations for alternative complement pathways also been described such as factor B, and C3.</w:t>
      </w:r>
      <w:hyperlink r:id="rId32" w:anchor="R17" w:history="1">
        <w:r w:rsidRPr="00155B11">
          <w:rPr>
            <w:rFonts w:ascii="Times New Roman" w:eastAsia="Times New Roman" w:hAnsi="Times New Roman" w:cs="Times New Roman"/>
            <w:color w:val="2F4A8B"/>
            <w:sz w:val="20"/>
            <w:szCs w:val="20"/>
            <w:u w:val="single"/>
            <w:vertAlign w:val="superscript"/>
          </w:rPr>
          <w:t>17</w:t>
        </w:r>
      </w:hyperlink>
    </w:p>
    <w:p w:rsidR="00155B11" w:rsidRPr="00155B11" w:rsidRDefault="00155B11" w:rsidP="00155B11">
      <w:pPr>
        <w:shd w:val="clear" w:color="auto" w:fill="FFFFFF"/>
        <w:spacing w:before="166" w:after="166" w:line="240" w:lineRule="auto"/>
        <w:rPr>
          <w:rFonts w:ascii="Times New Roman" w:eastAsia="Times New Roman" w:hAnsi="Times New Roman" w:cs="Times New Roman"/>
          <w:color w:val="000000"/>
          <w:sz w:val="24"/>
          <w:szCs w:val="24"/>
        </w:rPr>
      </w:pPr>
      <w:r w:rsidRPr="00155B11">
        <w:rPr>
          <w:rFonts w:ascii="Times New Roman" w:eastAsia="Times New Roman" w:hAnsi="Times New Roman" w:cs="Times New Roman"/>
          <w:color w:val="000000"/>
          <w:sz w:val="24"/>
          <w:szCs w:val="24"/>
        </w:rPr>
        <w:t>During the first 24–72 hours of a patient presenting with the “triad” of signs and symptoms, along with neurologic abnormalities, most clinicians are not able to differentiate TTP from atypical HUS, nor differentiate atypical HUS due to autoantibody to factor H from atypical HUS due to complement factor gene mutations. The authors of this chapter recommend consulting nephrology and hematology to send the appropriate ADAMTS-13, VWF and complement studies. In addition, TPE should be initiated until the results of biomarkers can differentiate the diagnoses. Because the underlying pathology is the deficiency of complement H activity, the recommended TPE replacement fluid is either plasma or albumin. The authors of this article recommend plasma as the replacement fluid since it has normal Factor H activity.</w:t>
      </w:r>
    </w:p>
    <w:p w:rsidR="00155B11" w:rsidRPr="00155B11" w:rsidRDefault="00155B11" w:rsidP="00155B11">
      <w:pPr>
        <w:shd w:val="clear" w:color="auto" w:fill="FFFFFF"/>
        <w:spacing w:before="308" w:after="154" w:line="300" w:lineRule="atLeast"/>
        <w:outlineLvl w:val="2"/>
        <w:rPr>
          <w:rFonts w:ascii="Arial" w:eastAsia="Times New Roman" w:hAnsi="Arial" w:cs="Arial"/>
          <w:b/>
          <w:bCs/>
          <w:color w:val="724128"/>
          <w:sz w:val="24"/>
          <w:szCs w:val="24"/>
        </w:rPr>
      </w:pPr>
      <w:r w:rsidRPr="00155B11">
        <w:rPr>
          <w:rFonts w:ascii="Arial" w:eastAsia="Times New Roman" w:hAnsi="Arial" w:cs="Arial"/>
          <w:b/>
          <w:bCs/>
          <w:color w:val="724128"/>
          <w:sz w:val="24"/>
          <w:szCs w:val="24"/>
        </w:rPr>
        <w:t>Disseminated Intravascular Coagulation (DIC)</w:t>
      </w:r>
    </w:p>
    <w:p w:rsidR="00155B11" w:rsidRPr="00155B11" w:rsidRDefault="00155B11" w:rsidP="00155B11">
      <w:pPr>
        <w:shd w:val="clear" w:color="auto" w:fill="FFFFFF"/>
        <w:spacing w:before="166" w:after="166" w:line="240" w:lineRule="auto"/>
        <w:rPr>
          <w:rFonts w:ascii="Times New Roman" w:eastAsia="Times New Roman" w:hAnsi="Times New Roman" w:cs="Times New Roman"/>
          <w:color w:val="000000"/>
          <w:sz w:val="24"/>
          <w:szCs w:val="24"/>
        </w:rPr>
      </w:pPr>
      <w:r w:rsidRPr="00155B11">
        <w:rPr>
          <w:rFonts w:ascii="Times New Roman" w:eastAsia="Times New Roman" w:hAnsi="Times New Roman" w:cs="Times New Roman"/>
          <w:color w:val="000000"/>
          <w:sz w:val="24"/>
          <w:szCs w:val="24"/>
        </w:rPr>
        <w:t>DIC is characterized by intravascular activation of coagulation leading to the consumption and exhaustion of coagulation proteins and platelets. Autopsies in patients who died with DIC reveal extensive fibrin deposition in small and mid-size vessels in all organs.</w:t>
      </w:r>
      <w:hyperlink r:id="rId33" w:anchor="R3" w:history="1">
        <w:r w:rsidRPr="00155B11">
          <w:rPr>
            <w:rFonts w:ascii="Times New Roman" w:eastAsia="Times New Roman" w:hAnsi="Times New Roman" w:cs="Times New Roman"/>
            <w:color w:val="2F4A8B"/>
            <w:sz w:val="20"/>
            <w:szCs w:val="20"/>
            <w:u w:val="single"/>
            <w:vertAlign w:val="superscript"/>
          </w:rPr>
          <w:t>3</w:t>
        </w:r>
      </w:hyperlink>
      <w:r w:rsidRPr="00155B11">
        <w:rPr>
          <w:rFonts w:ascii="Times New Roman" w:eastAsia="Times New Roman" w:hAnsi="Times New Roman" w:cs="Times New Roman"/>
          <w:color w:val="000000"/>
          <w:sz w:val="20"/>
          <w:szCs w:val="20"/>
          <w:vertAlign w:val="superscript"/>
        </w:rPr>
        <w:t>,</w:t>
      </w:r>
      <w:hyperlink r:id="rId34" w:anchor="R4" w:history="1">
        <w:r w:rsidRPr="00155B11">
          <w:rPr>
            <w:rFonts w:ascii="Times New Roman" w:eastAsia="Times New Roman" w:hAnsi="Times New Roman" w:cs="Times New Roman"/>
            <w:color w:val="2F4A8B"/>
            <w:sz w:val="20"/>
            <w:szCs w:val="20"/>
            <w:u w:val="single"/>
            <w:vertAlign w:val="superscript"/>
          </w:rPr>
          <w:t>4</w:t>
        </w:r>
      </w:hyperlink>
      <w:r w:rsidRPr="00155B11">
        <w:rPr>
          <w:rFonts w:ascii="Times New Roman" w:eastAsia="Times New Roman" w:hAnsi="Times New Roman" w:cs="Times New Roman"/>
          <w:color w:val="000000"/>
          <w:sz w:val="20"/>
          <w:szCs w:val="20"/>
          <w:vertAlign w:val="superscript"/>
        </w:rPr>
        <w:t>,</w:t>
      </w:r>
      <w:hyperlink r:id="rId35" w:anchor="R6" w:history="1">
        <w:r w:rsidRPr="00155B11">
          <w:rPr>
            <w:rFonts w:ascii="Times New Roman" w:eastAsia="Times New Roman" w:hAnsi="Times New Roman" w:cs="Times New Roman"/>
            <w:color w:val="2F4A8B"/>
            <w:sz w:val="20"/>
            <w:szCs w:val="20"/>
            <w:u w:val="single"/>
            <w:vertAlign w:val="superscript"/>
          </w:rPr>
          <w:t>6</w:t>
        </w:r>
      </w:hyperlink>
      <w:r w:rsidRPr="00155B11">
        <w:rPr>
          <w:rFonts w:ascii="Times New Roman" w:eastAsia="Times New Roman" w:hAnsi="Times New Roman" w:cs="Times New Roman"/>
          <w:color w:val="000000"/>
          <w:sz w:val="20"/>
          <w:szCs w:val="20"/>
          <w:vertAlign w:val="superscript"/>
        </w:rPr>
        <w:t>,</w:t>
      </w:r>
      <w:hyperlink r:id="rId36" w:anchor="R19" w:history="1">
        <w:r w:rsidRPr="00155B11">
          <w:rPr>
            <w:rFonts w:ascii="Times New Roman" w:eastAsia="Times New Roman" w:hAnsi="Times New Roman" w:cs="Times New Roman"/>
            <w:color w:val="2F4A8B"/>
            <w:sz w:val="20"/>
            <w:szCs w:val="20"/>
            <w:u w:val="single"/>
            <w:vertAlign w:val="superscript"/>
          </w:rPr>
          <w:t>19</w:t>
        </w:r>
      </w:hyperlink>
      <w:r w:rsidRPr="00155B11">
        <w:rPr>
          <w:rFonts w:ascii="Times New Roman" w:eastAsia="Times New Roman" w:hAnsi="Times New Roman" w:cs="Times New Roman"/>
          <w:color w:val="000000"/>
          <w:sz w:val="24"/>
          <w:szCs w:val="24"/>
        </w:rPr>
        <w:t> One of the proposed mechanisms for DIC is that systemic inflammation, such as occurs in sepsis, activates leukocytes and endothelium. These cells then synthesize, express, and release tissue factor. Tissue factor forms a complex with factor VII leading to the activation of coagulation and the resultant disseminated microvascular thrombosis with fibrin-rich microthrombi.</w:t>
      </w:r>
      <w:hyperlink r:id="rId37" w:anchor="R20" w:history="1">
        <w:r w:rsidRPr="00155B11">
          <w:rPr>
            <w:rFonts w:ascii="Times New Roman" w:eastAsia="Times New Roman" w:hAnsi="Times New Roman" w:cs="Times New Roman"/>
            <w:color w:val="2F4A8B"/>
            <w:sz w:val="20"/>
            <w:szCs w:val="20"/>
            <w:u w:val="single"/>
            <w:vertAlign w:val="superscript"/>
          </w:rPr>
          <w:t>20</w:t>
        </w:r>
      </w:hyperlink>
      <w:r w:rsidRPr="00155B11">
        <w:rPr>
          <w:rFonts w:ascii="Times New Roman" w:eastAsia="Times New Roman" w:hAnsi="Times New Roman" w:cs="Times New Roman"/>
          <w:color w:val="000000"/>
          <w:sz w:val="24"/>
          <w:szCs w:val="24"/>
        </w:rPr>
        <w:t> Clinically, these patients present with shock and in a prothrombotic and antifibrinolytic state with subsequent bleeding diathesis. Many case series and observational studies suggest that TPE might have a beneficial effect in DIC.</w:t>
      </w:r>
      <w:hyperlink r:id="rId38" w:anchor="R21" w:history="1">
        <w:r w:rsidRPr="00155B11">
          <w:rPr>
            <w:rFonts w:ascii="Times New Roman" w:eastAsia="Times New Roman" w:hAnsi="Times New Roman" w:cs="Times New Roman"/>
            <w:color w:val="2F4A8B"/>
            <w:sz w:val="20"/>
            <w:szCs w:val="20"/>
            <w:u w:val="single"/>
            <w:vertAlign w:val="superscript"/>
          </w:rPr>
          <w:t>21</w:t>
        </w:r>
      </w:hyperlink>
      <w:r w:rsidRPr="00155B11">
        <w:rPr>
          <w:rFonts w:ascii="Times New Roman" w:eastAsia="Times New Roman" w:hAnsi="Times New Roman" w:cs="Times New Roman"/>
          <w:color w:val="000000"/>
          <w:sz w:val="20"/>
          <w:szCs w:val="20"/>
          <w:vertAlign w:val="superscript"/>
        </w:rPr>
        <w:t>–</w:t>
      </w:r>
      <w:hyperlink r:id="rId39" w:anchor="R25" w:history="1">
        <w:r w:rsidRPr="00155B11">
          <w:rPr>
            <w:rFonts w:ascii="Times New Roman" w:eastAsia="Times New Roman" w:hAnsi="Times New Roman" w:cs="Times New Roman"/>
            <w:color w:val="2F4A8B"/>
            <w:sz w:val="20"/>
            <w:szCs w:val="20"/>
            <w:u w:val="single"/>
            <w:vertAlign w:val="superscript"/>
          </w:rPr>
          <w:t>25</w:t>
        </w:r>
      </w:hyperlink>
      <w:r w:rsidRPr="00155B11">
        <w:rPr>
          <w:rFonts w:ascii="Times New Roman" w:eastAsia="Times New Roman" w:hAnsi="Times New Roman" w:cs="Times New Roman"/>
          <w:color w:val="000000"/>
          <w:sz w:val="24"/>
          <w:szCs w:val="24"/>
        </w:rPr>
        <w:t> TPE is thought to normalize the blood coagulation to homeostasis milieu by removing tissue factor and plasminogen activator inhibitors-type-I, and by replacing antithrombin III, protein C, and coagulation factors. Currently, the ASFA does not have a specific recommendation for TPE in DIC.</w:t>
      </w:r>
    </w:p>
    <w:p w:rsidR="00155B11" w:rsidRPr="00155B11" w:rsidRDefault="00155B11" w:rsidP="00155B11">
      <w:pPr>
        <w:shd w:val="clear" w:color="auto" w:fill="FFFFFF"/>
        <w:spacing w:before="166" w:after="166" w:line="240" w:lineRule="auto"/>
        <w:rPr>
          <w:rFonts w:ascii="Times New Roman" w:eastAsia="Times New Roman" w:hAnsi="Times New Roman" w:cs="Times New Roman"/>
          <w:color w:val="000000"/>
          <w:sz w:val="24"/>
          <w:szCs w:val="24"/>
        </w:rPr>
      </w:pPr>
      <w:r w:rsidRPr="00155B11">
        <w:rPr>
          <w:rFonts w:ascii="Times New Roman" w:eastAsia="Times New Roman" w:hAnsi="Times New Roman" w:cs="Times New Roman"/>
          <w:color w:val="000000"/>
          <w:sz w:val="24"/>
          <w:szCs w:val="24"/>
        </w:rPr>
        <w:t>However, the ASFA gives a category III recommendation for TPE in Sepsis with Multiorgan Failure.</w:t>
      </w:r>
      <w:hyperlink r:id="rId40" w:anchor="R1" w:history="1">
        <w:r w:rsidRPr="00155B11">
          <w:rPr>
            <w:rFonts w:ascii="Times New Roman" w:eastAsia="Times New Roman" w:hAnsi="Times New Roman" w:cs="Times New Roman"/>
            <w:color w:val="2F4A8B"/>
            <w:sz w:val="20"/>
            <w:szCs w:val="20"/>
            <w:u w:val="single"/>
            <w:vertAlign w:val="superscript"/>
          </w:rPr>
          <w:t>1</w:t>
        </w:r>
      </w:hyperlink>
      <w:r w:rsidRPr="00155B11">
        <w:rPr>
          <w:rFonts w:ascii="Times New Roman" w:eastAsia="Times New Roman" w:hAnsi="Times New Roman" w:cs="Times New Roman"/>
          <w:color w:val="000000"/>
          <w:sz w:val="24"/>
          <w:szCs w:val="24"/>
        </w:rPr>
        <w:t xml:space="preserve"> Large trials have documented that sepsis can induce thrombotic microangiopathy, and </w:t>
      </w:r>
      <w:r w:rsidRPr="00155B11">
        <w:rPr>
          <w:rFonts w:ascii="Times New Roman" w:eastAsia="Times New Roman" w:hAnsi="Times New Roman" w:cs="Times New Roman"/>
          <w:color w:val="000000"/>
          <w:sz w:val="24"/>
          <w:szCs w:val="24"/>
        </w:rPr>
        <w:lastRenderedPageBreak/>
        <w:t>in particular, sepsis-induced DIC is present in 30–50% of patients with severe sepsis.</w:t>
      </w:r>
      <w:hyperlink r:id="rId41" w:anchor="R19" w:history="1">
        <w:r w:rsidRPr="00155B11">
          <w:rPr>
            <w:rFonts w:ascii="Times New Roman" w:eastAsia="Times New Roman" w:hAnsi="Times New Roman" w:cs="Times New Roman"/>
            <w:color w:val="2F4A8B"/>
            <w:sz w:val="20"/>
            <w:szCs w:val="20"/>
            <w:u w:val="single"/>
            <w:vertAlign w:val="superscript"/>
          </w:rPr>
          <w:t>19</w:t>
        </w:r>
      </w:hyperlink>
      <w:r w:rsidRPr="00155B11">
        <w:rPr>
          <w:rFonts w:ascii="Times New Roman" w:eastAsia="Times New Roman" w:hAnsi="Times New Roman" w:cs="Times New Roman"/>
          <w:color w:val="000000"/>
          <w:sz w:val="20"/>
          <w:szCs w:val="20"/>
          <w:vertAlign w:val="superscript"/>
        </w:rPr>
        <w:t>,</w:t>
      </w:r>
      <w:hyperlink r:id="rId42" w:anchor="R26" w:history="1">
        <w:r w:rsidRPr="00155B11">
          <w:rPr>
            <w:rFonts w:ascii="Times New Roman" w:eastAsia="Times New Roman" w:hAnsi="Times New Roman" w:cs="Times New Roman"/>
            <w:color w:val="2F4A8B"/>
            <w:sz w:val="20"/>
            <w:szCs w:val="20"/>
            <w:u w:val="single"/>
            <w:vertAlign w:val="superscript"/>
          </w:rPr>
          <w:t>26</w:t>
        </w:r>
      </w:hyperlink>
      <w:r w:rsidRPr="00155B11">
        <w:rPr>
          <w:rFonts w:ascii="Times New Roman" w:eastAsia="Times New Roman" w:hAnsi="Times New Roman" w:cs="Times New Roman"/>
          <w:color w:val="000000"/>
          <w:sz w:val="24"/>
          <w:szCs w:val="24"/>
        </w:rPr>
        <w:t> DIC has been shown to be one of the major contributing mechanisms to multiple organ failure in critically ill patients.</w:t>
      </w:r>
      <w:hyperlink r:id="rId43" w:anchor="R19" w:history="1">
        <w:r w:rsidRPr="00155B11">
          <w:rPr>
            <w:rFonts w:ascii="Times New Roman" w:eastAsia="Times New Roman" w:hAnsi="Times New Roman" w:cs="Times New Roman"/>
            <w:color w:val="2F4A8B"/>
            <w:sz w:val="20"/>
            <w:szCs w:val="20"/>
            <w:u w:val="single"/>
            <w:vertAlign w:val="superscript"/>
          </w:rPr>
          <w:t>19</w:t>
        </w:r>
      </w:hyperlink>
      <w:r w:rsidRPr="00155B11">
        <w:rPr>
          <w:rFonts w:ascii="Times New Roman" w:eastAsia="Times New Roman" w:hAnsi="Times New Roman" w:cs="Times New Roman"/>
          <w:color w:val="000000"/>
          <w:sz w:val="24"/>
          <w:szCs w:val="24"/>
        </w:rPr>
        <w:t> Thus, there is a biologic plausibility that the beneficial treatment effect of TPE in Sepsis with Multiorgan Failure could be from reversing DIC.</w:t>
      </w:r>
    </w:p>
    <w:p w:rsidR="00155B11" w:rsidRPr="00155B11" w:rsidRDefault="00155B11" w:rsidP="00155B11">
      <w:pPr>
        <w:shd w:val="clear" w:color="auto" w:fill="FFFFFF"/>
        <w:spacing w:before="308" w:after="154" w:line="300" w:lineRule="atLeast"/>
        <w:outlineLvl w:val="2"/>
        <w:rPr>
          <w:rFonts w:ascii="Arial" w:eastAsia="Times New Roman" w:hAnsi="Arial" w:cs="Arial"/>
          <w:b/>
          <w:bCs/>
          <w:color w:val="724128"/>
          <w:sz w:val="24"/>
          <w:szCs w:val="24"/>
        </w:rPr>
      </w:pPr>
      <w:r w:rsidRPr="00155B11">
        <w:rPr>
          <w:rFonts w:ascii="Arial" w:eastAsia="Times New Roman" w:hAnsi="Arial" w:cs="Arial"/>
          <w:b/>
          <w:bCs/>
          <w:color w:val="724128"/>
          <w:sz w:val="24"/>
          <w:szCs w:val="24"/>
        </w:rPr>
        <w:t>Thrombocytopenia-Associated Multiple Organ Failure (TAMOF)</w:t>
      </w:r>
    </w:p>
    <w:p w:rsidR="00155B11" w:rsidRPr="00155B11" w:rsidRDefault="00155B11" w:rsidP="00155B11">
      <w:pPr>
        <w:shd w:val="clear" w:color="auto" w:fill="FFFFFF"/>
        <w:spacing w:before="166" w:after="166" w:line="240" w:lineRule="auto"/>
        <w:rPr>
          <w:rFonts w:ascii="Times New Roman" w:eastAsia="Times New Roman" w:hAnsi="Times New Roman" w:cs="Times New Roman"/>
          <w:color w:val="000000"/>
          <w:sz w:val="24"/>
          <w:szCs w:val="24"/>
        </w:rPr>
      </w:pPr>
      <w:r w:rsidRPr="00155B11">
        <w:rPr>
          <w:rFonts w:ascii="Times New Roman" w:eastAsia="Times New Roman" w:hAnsi="Times New Roman" w:cs="Times New Roman"/>
          <w:color w:val="000000"/>
          <w:sz w:val="24"/>
          <w:szCs w:val="24"/>
        </w:rPr>
        <w:t>Recently, investigators observed that pediatric patients with Thrombocytopenia-Associated Multiple Organ Failure (TAMOF) have thrombotic microangiopathy and that TPE may have a beneficial effect.</w:t>
      </w:r>
      <w:hyperlink r:id="rId44" w:anchor="R25" w:history="1">
        <w:r w:rsidRPr="00155B11">
          <w:rPr>
            <w:rFonts w:ascii="Times New Roman" w:eastAsia="Times New Roman" w:hAnsi="Times New Roman" w:cs="Times New Roman"/>
            <w:color w:val="2F4A8B"/>
            <w:sz w:val="20"/>
            <w:szCs w:val="20"/>
            <w:u w:val="single"/>
            <w:vertAlign w:val="superscript"/>
          </w:rPr>
          <w:t>25</w:t>
        </w:r>
      </w:hyperlink>
      <w:r w:rsidRPr="00155B11">
        <w:rPr>
          <w:rFonts w:ascii="Times New Roman" w:eastAsia="Times New Roman" w:hAnsi="Times New Roman" w:cs="Times New Roman"/>
          <w:color w:val="000000"/>
          <w:sz w:val="24"/>
          <w:szCs w:val="24"/>
        </w:rPr>
        <w:t> These investigators reported that pediatric patients with new onset thrombocytopenia defined as platelet counts &lt; 100,000/mm</w:t>
      </w:r>
      <w:r w:rsidRPr="00155B11">
        <w:rPr>
          <w:rFonts w:ascii="Times New Roman" w:eastAsia="Times New Roman" w:hAnsi="Times New Roman" w:cs="Times New Roman"/>
          <w:color w:val="000000"/>
          <w:sz w:val="20"/>
          <w:szCs w:val="20"/>
          <w:vertAlign w:val="superscript"/>
        </w:rPr>
        <w:t>3</w:t>
      </w:r>
      <w:r w:rsidRPr="00155B11">
        <w:rPr>
          <w:rFonts w:ascii="Times New Roman" w:eastAsia="Times New Roman" w:hAnsi="Times New Roman" w:cs="Times New Roman"/>
          <w:color w:val="000000"/>
          <w:sz w:val="24"/>
          <w:szCs w:val="24"/>
        </w:rPr>
        <w:t> and at least 3 failing organs have a pathophysiologic process similar to that of TTP such as low ADAMTS-13 activities, presence of ultra-large VWF, and high VWF activities. A subset of TAMOF patients also had prolonged prothrombin time suggesting fibrin pathway activation, as in DIC. On autopsies, pediatric TAMOF patients have VWF-rich and platelet-rich microthrombi similar to patients with TTP, and also fibrin-rich microthrombi similar to patients with DIC. In a small single center trial, they reported that TPE had a significant beneficial treatment effect in reducing organ failure score (Pediatric Logistic Organ Dysfunction) and mortality. Of note, all of these patients had concurrent sepsis. Thus, the ASFA category III recommendation for TPE in Sepsis with Multiorgan Failure,</w:t>
      </w:r>
      <w:hyperlink r:id="rId45" w:anchor="R1" w:history="1">
        <w:r w:rsidRPr="00155B11">
          <w:rPr>
            <w:rFonts w:ascii="Times New Roman" w:eastAsia="Times New Roman" w:hAnsi="Times New Roman" w:cs="Times New Roman"/>
            <w:color w:val="2F4A8B"/>
            <w:sz w:val="20"/>
            <w:szCs w:val="20"/>
            <w:u w:val="single"/>
            <w:vertAlign w:val="superscript"/>
          </w:rPr>
          <w:t>1</w:t>
        </w:r>
      </w:hyperlink>
      <w:r w:rsidRPr="00155B11">
        <w:rPr>
          <w:rFonts w:ascii="Times New Roman" w:eastAsia="Times New Roman" w:hAnsi="Times New Roman" w:cs="Times New Roman"/>
          <w:color w:val="000000"/>
          <w:sz w:val="24"/>
          <w:szCs w:val="24"/>
        </w:rPr>
        <w:t> as discussed above, encompasses sepsis-induced TAMOF.</w:t>
      </w:r>
    </w:p>
    <w:p w:rsidR="00155B11" w:rsidRPr="00155B11" w:rsidRDefault="00155B11" w:rsidP="00155B11">
      <w:pPr>
        <w:shd w:val="clear" w:color="auto" w:fill="FFFFFF"/>
        <w:spacing w:before="166" w:after="166" w:line="240" w:lineRule="auto"/>
        <w:rPr>
          <w:rFonts w:ascii="Times New Roman" w:eastAsia="Times New Roman" w:hAnsi="Times New Roman" w:cs="Times New Roman"/>
          <w:color w:val="000000"/>
          <w:sz w:val="24"/>
          <w:szCs w:val="24"/>
        </w:rPr>
      </w:pPr>
      <w:r w:rsidRPr="00155B11">
        <w:rPr>
          <w:rFonts w:ascii="Times New Roman" w:eastAsia="Times New Roman" w:hAnsi="Times New Roman" w:cs="Times New Roman"/>
          <w:color w:val="000000"/>
          <w:sz w:val="24"/>
          <w:szCs w:val="24"/>
        </w:rPr>
        <w:t>A larger multi-center registry of TPE in pediatric TAMOF is in its analysis phase. Hopefully, this registry will shed more light on the treatment effect of TPE for TAMOF. Because the underlying pathology could be in part from deficient coagulation factors due to consumption, the recommended TPE replacement fluid is either plasma or albumin. The authors of this article recommend plasma as the replacement fluid.</w:t>
      </w:r>
    </w:p>
    <w:p w:rsidR="00155B11" w:rsidRPr="00155B11" w:rsidRDefault="00155B11" w:rsidP="00155B11">
      <w:pPr>
        <w:shd w:val="clear" w:color="auto" w:fill="FFFFFF"/>
        <w:spacing w:before="308" w:after="154" w:line="300" w:lineRule="atLeast"/>
        <w:outlineLvl w:val="2"/>
        <w:rPr>
          <w:rFonts w:ascii="Arial" w:eastAsia="Times New Roman" w:hAnsi="Arial" w:cs="Arial"/>
          <w:b/>
          <w:bCs/>
          <w:color w:val="724128"/>
          <w:sz w:val="24"/>
          <w:szCs w:val="24"/>
        </w:rPr>
      </w:pPr>
      <w:r w:rsidRPr="00155B11">
        <w:rPr>
          <w:rFonts w:ascii="Arial" w:eastAsia="Times New Roman" w:hAnsi="Arial" w:cs="Arial"/>
          <w:b/>
          <w:bCs/>
          <w:color w:val="724128"/>
          <w:sz w:val="24"/>
          <w:szCs w:val="24"/>
        </w:rPr>
        <w:t>Catastrophic Antiphospholipid Syndrome (CAPS)</w:t>
      </w:r>
    </w:p>
    <w:p w:rsidR="00155B11" w:rsidRPr="00155B11" w:rsidRDefault="00155B11" w:rsidP="00155B11">
      <w:pPr>
        <w:shd w:val="clear" w:color="auto" w:fill="FFFFFF"/>
        <w:spacing w:before="166" w:after="166" w:line="240" w:lineRule="auto"/>
        <w:rPr>
          <w:rFonts w:ascii="Times New Roman" w:eastAsia="Times New Roman" w:hAnsi="Times New Roman" w:cs="Times New Roman"/>
          <w:color w:val="000000"/>
          <w:sz w:val="24"/>
          <w:szCs w:val="24"/>
        </w:rPr>
      </w:pPr>
      <w:r w:rsidRPr="00155B11">
        <w:rPr>
          <w:rFonts w:ascii="Times New Roman" w:eastAsia="Times New Roman" w:hAnsi="Times New Roman" w:cs="Times New Roman"/>
          <w:color w:val="000000"/>
          <w:sz w:val="24"/>
          <w:szCs w:val="24"/>
        </w:rPr>
        <w:t>The underlying pathology in CAPS is an acquired hypercoagulable state due to the presence of antiphospholipid, anticardiolipin, and/or anti-beta 2 glycoprotein I antibodies.</w:t>
      </w:r>
      <w:hyperlink r:id="rId46" w:anchor="R27" w:history="1">
        <w:r w:rsidRPr="00155B11">
          <w:rPr>
            <w:rFonts w:ascii="Times New Roman" w:eastAsia="Times New Roman" w:hAnsi="Times New Roman" w:cs="Times New Roman"/>
            <w:color w:val="2F4A8B"/>
            <w:sz w:val="20"/>
            <w:szCs w:val="20"/>
            <w:u w:val="single"/>
            <w:vertAlign w:val="superscript"/>
          </w:rPr>
          <w:t>27</w:t>
        </w:r>
      </w:hyperlink>
      <w:r w:rsidRPr="00155B11">
        <w:rPr>
          <w:rFonts w:ascii="Times New Roman" w:eastAsia="Times New Roman" w:hAnsi="Times New Roman" w:cs="Times New Roman"/>
          <w:color w:val="000000"/>
          <w:sz w:val="24"/>
          <w:szCs w:val="24"/>
        </w:rPr>
        <w:t> The clinical presentation is acute microvascular venous and arterial thrombosis leading to multiple organ failure. Currently, the definition of CAPS includes 1) involvement of at least 3 organs, 2) manifestation in less than one week, 3) confirmed histopathology of small vessel occlusion in one tissue, and 4) presence of antiphospholipid antibodies.</w:t>
      </w:r>
      <w:hyperlink r:id="rId47" w:anchor="R28" w:history="1">
        <w:r w:rsidRPr="00155B11">
          <w:rPr>
            <w:rFonts w:ascii="Times New Roman" w:eastAsia="Times New Roman" w:hAnsi="Times New Roman" w:cs="Times New Roman"/>
            <w:color w:val="2F4A8B"/>
            <w:sz w:val="20"/>
            <w:szCs w:val="20"/>
            <w:u w:val="single"/>
            <w:vertAlign w:val="superscript"/>
          </w:rPr>
          <w:t>28</w:t>
        </w:r>
      </w:hyperlink>
      <w:r w:rsidRPr="00155B11">
        <w:rPr>
          <w:rFonts w:ascii="Times New Roman" w:eastAsia="Times New Roman" w:hAnsi="Times New Roman" w:cs="Times New Roman"/>
          <w:color w:val="000000"/>
          <w:sz w:val="24"/>
          <w:szCs w:val="24"/>
        </w:rPr>
        <w:t> This syndrome may be clinically indistinguishable from TTP, HUS, DIC, and TAMOF. For example, overt DIC is present in 20% of patients with CAPS. Biomarkers could help to differentiate between CAPS from TTP, HUS, and DIC.</w:t>
      </w:r>
    </w:p>
    <w:p w:rsidR="00155B11" w:rsidRPr="00155B11" w:rsidRDefault="00155B11" w:rsidP="00155B11">
      <w:pPr>
        <w:shd w:val="clear" w:color="auto" w:fill="FFFFFF"/>
        <w:spacing w:before="166" w:after="166" w:line="240" w:lineRule="auto"/>
        <w:rPr>
          <w:rFonts w:ascii="Times New Roman" w:eastAsia="Times New Roman" w:hAnsi="Times New Roman" w:cs="Times New Roman"/>
          <w:color w:val="000000"/>
          <w:sz w:val="24"/>
          <w:szCs w:val="24"/>
        </w:rPr>
      </w:pPr>
      <w:r w:rsidRPr="00155B11">
        <w:rPr>
          <w:rFonts w:ascii="Times New Roman" w:eastAsia="Times New Roman" w:hAnsi="Times New Roman" w:cs="Times New Roman"/>
          <w:color w:val="000000"/>
          <w:sz w:val="24"/>
          <w:szCs w:val="24"/>
        </w:rPr>
        <w:t>The ASFA gives a category II recommendation for TPE in CAPS.</w:t>
      </w:r>
      <w:hyperlink r:id="rId48" w:anchor="R1" w:history="1">
        <w:r w:rsidRPr="00155B11">
          <w:rPr>
            <w:rFonts w:ascii="Times New Roman" w:eastAsia="Times New Roman" w:hAnsi="Times New Roman" w:cs="Times New Roman"/>
            <w:color w:val="2F4A8B"/>
            <w:sz w:val="20"/>
            <w:szCs w:val="20"/>
            <w:u w:val="single"/>
            <w:vertAlign w:val="superscript"/>
          </w:rPr>
          <w:t>1</w:t>
        </w:r>
      </w:hyperlink>
      <w:r w:rsidRPr="00155B11">
        <w:rPr>
          <w:rFonts w:ascii="Times New Roman" w:eastAsia="Times New Roman" w:hAnsi="Times New Roman" w:cs="Times New Roman"/>
          <w:color w:val="000000"/>
          <w:sz w:val="24"/>
          <w:szCs w:val="24"/>
        </w:rPr>
        <w:t> TPE is thought to remove antiphospholipid antibodies, inflammatory cytokines, and complement, and to replace the deficient coagulation factors.</w:t>
      </w:r>
      <w:hyperlink r:id="rId49" w:anchor="R29" w:history="1">
        <w:r w:rsidRPr="00155B11">
          <w:rPr>
            <w:rFonts w:ascii="Times New Roman" w:eastAsia="Times New Roman" w:hAnsi="Times New Roman" w:cs="Times New Roman"/>
            <w:color w:val="2F4A8B"/>
            <w:sz w:val="20"/>
            <w:szCs w:val="20"/>
            <w:u w:val="single"/>
            <w:vertAlign w:val="superscript"/>
          </w:rPr>
          <w:t>29</w:t>
        </w:r>
      </w:hyperlink>
      <w:r w:rsidRPr="00155B11">
        <w:rPr>
          <w:rFonts w:ascii="Times New Roman" w:eastAsia="Times New Roman" w:hAnsi="Times New Roman" w:cs="Times New Roman"/>
          <w:color w:val="000000"/>
          <w:sz w:val="20"/>
          <w:szCs w:val="20"/>
          <w:vertAlign w:val="superscript"/>
        </w:rPr>
        <w:t>–</w:t>
      </w:r>
      <w:hyperlink r:id="rId50" w:anchor="R31" w:history="1">
        <w:r w:rsidRPr="00155B11">
          <w:rPr>
            <w:rFonts w:ascii="Times New Roman" w:eastAsia="Times New Roman" w:hAnsi="Times New Roman" w:cs="Times New Roman"/>
            <w:color w:val="2F4A8B"/>
            <w:sz w:val="20"/>
            <w:szCs w:val="20"/>
            <w:u w:val="single"/>
            <w:vertAlign w:val="superscript"/>
          </w:rPr>
          <w:t>31</w:t>
        </w:r>
      </w:hyperlink>
      <w:r w:rsidRPr="00155B11">
        <w:rPr>
          <w:rFonts w:ascii="Times New Roman" w:eastAsia="Times New Roman" w:hAnsi="Times New Roman" w:cs="Times New Roman"/>
          <w:color w:val="000000"/>
          <w:sz w:val="24"/>
          <w:szCs w:val="24"/>
        </w:rPr>
        <w:t> The recommended TPE replacement fluid is plasma as it has normal level of coagulation proteases.</w:t>
      </w:r>
    </w:p>
    <w:p w:rsidR="00155B11" w:rsidRPr="00155B11" w:rsidRDefault="00155B11" w:rsidP="00155B11">
      <w:pPr>
        <w:shd w:val="clear" w:color="auto" w:fill="FFFFFF"/>
        <w:spacing w:before="308" w:after="154" w:line="300" w:lineRule="atLeast"/>
        <w:outlineLvl w:val="2"/>
        <w:rPr>
          <w:rFonts w:ascii="Arial" w:eastAsia="Times New Roman" w:hAnsi="Arial" w:cs="Arial"/>
          <w:b/>
          <w:bCs/>
          <w:color w:val="724128"/>
          <w:sz w:val="24"/>
          <w:szCs w:val="24"/>
        </w:rPr>
      </w:pPr>
      <w:r w:rsidRPr="00155B11">
        <w:rPr>
          <w:rFonts w:ascii="Arial" w:eastAsia="Times New Roman" w:hAnsi="Arial" w:cs="Arial"/>
          <w:b/>
          <w:bCs/>
          <w:color w:val="724128"/>
          <w:sz w:val="24"/>
          <w:szCs w:val="24"/>
        </w:rPr>
        <w:t>Hematopoietic Stem Cell Transplant – Associated Thrombotic Microangiopathy</w:t>
      </w:r>
    </w:p>
    <w:p w:rsidR="00155B11" w:rsidRPr="00155B11" w:rsidRDefault="00155B11" w:rsidP="00155B11">
      <w:pPr>
        <w:shd w:val="clear" w:color="auto" w:fill="FFFFFF"/>
        <w:spacing w:before="166" w:after="166" w:line="240" w:lineRule="auto"/>
        <w:rPr>
          <w:rFonts w:ascii="Times New Roman" w:eastAsia="Times New Roman" w:hAnsi="Times New Roman" w:cs="Times New Roman"/>
          <w:color w:val="000000"/>
          <w:sz w:val="24"/>
          <w:szCs w:val="24"/>
        </w:rPr>
      </w:pPr>
      <w:r w:rsidRPr="00155B11">
        <w:rPr>
          <w:rFonts w:ascii="Times New Roman" w:eastAsia="Times New Roman" w:hAnsi="Times New Roman" w:cs="Times New Roman"/>
          <w:color w:val="000000"/>
          <w:sz w:val="24"/>
          <w:szCs w:val="24"/>
        </w:rPr>
        <w:t>The causes of thrombotic microangiopathy in hematopoietic stem cell transplant are unclear.</w:t>
      </w:r>
      <w:hyperlink r:id="rId51" w:anchor="R32" w:history="1">
        <w:r w:rsidRPr="00155B11">
          <w:rPr>
            <w:rFonts w:ascii="Times New Roman" w:eastAsia="Times New Roman" w:hAnsi="Times New Roman" w:cs="Times New Roman"/>
            <w:color w:val="2F4A8B"/>
            <w:sz w:val="20"/>
            <w:szCs w:val="20"/>
            <w:u w:val="single"/>
            <w:vertAlign w:val="superscript"/>
          </w:rPr>
          <w:t>32</w:t>
        </w:r>
      </w:hyperlink>
      <w:r w:rsidRPr="00155B11">
        <w:rPr>
          <w:rFonts w:ascii="Times New Roman" w:eastAsia="Times New Roman" w:hAnsi="Times New Roman" w:cs="Times New Roman"/>
          <w:color w:val="000000"/>
          <w:sz w:val="20"/>
          <w:szCs w:val="20"/>
          <w:vertAlign w:val="superscript"/>
        </w:rPr>
        <w:t>–</w:t>
      </w:r>
      <w:hyperlink r:id="rId52" w:anchor="R35" w:history="1">
        <w:r w:rsidRPr="00155B11">
          <w:rPr>
            <w:rFonts w:ascii="Times New Roman" w:eastAsia="Times New Roman" w:hAnsi="Times New Roman" w:cs="Times New Roman"/>
            <w:color w:val="2F4A8B"/>
            <w:sz w:val="20"/>
            <w:szCs w:val="20"/>
            <w:u w:val="single"/>
            <w:vertAlign w:val="superscript"/>
          </w:rPr>
          <w:t>35</w:t>
        </w:r>
      </w:hyperlink>
      <w:r w:rsidRPr="00155B11">
        <w:rPr>
          <w:rFonts w:ascii="Times New Roman" w:eastAsia="Times New Roman" w:hAnsi="Times New Roman" w:cs="Times New Roman"/>
          <w:color w:val="000000"/>
          <w:sz w:val="24"/>
          <w:szCs w:val="24"/>
        </w:rPr>
        <w:t> Endotheliopathy is suggested to be the underlying pathophysiologic process.</w:t>
      </w:r>
      <w:hyperlink r:id="rId53" w:anchor="R36" w:history="1">
        <w:r w:rsidRPr="00155B11">
          <w:rPr>
            <w:rFonts w:ascii="Times New Roman" w:eastAsia="Times New Roman" w:hAnsi="Times New Roman" w:cs="Times New Roman"/>
            <w:color w:val="2F4A8B"/>
            <w:sz w:val="20"/>
            <w:szCs w:val="20"/>
            <w:u w:val="single"/>
            <w:vertAlign w:val="superscript"/>
          </w:rPr>
          <w:t>36</w:t>
        </w:r>
      </w:hyperlink>
      <w:r w:rsidRPr="00155B11">
        <w:rPr>
          <w:rFonts w:ascii="Times New Roman" w:eastAsia="Times New Roman" w:hAnsi="Times New Roman" w:cs="Times New Roman"/>
          <w:color w:val="000000"/>
          <w:sz w:val="24"/>
          <w:szCs w:val="24"/>
        </w:rPr>
        <w:t xml:space="preserve"> However, it is </w:t>
      </w:r>
      <w:r w:rsidRPr="00155B11">
        <w:rPr>
          <w:rFonts w:ascii="Times New Roman" w:eastAsia="Times New Roman" w:hAnsi="Times New Roman" w:cs="Times New Roman"/>
          <w:color w:val="000000"/>
          <w:sz w:val="24"/>
          <w:szCs w:val="24"/>
        </w:rPr>
        <w:lastRenderedPageBreak/>
        <w:t>postulated that there could be multiple triggers including high-dose conditioning chemotherapy, irradiation, graft-versus-host disease (GVHD), mammalian target of rapamycin (mTOR) and calcineurin inhibitor drugs, and infection. The mainstay of therapy involves treating GVHD, reducing doses of the mTOR and calcineurin inhibitor drugs, and treating infection. ADAMTS-13 activities have been shown to be low normal in these patients. Some patients seem to respond to TPE. Thus, a trial of TPE with a defined endpoint in selected patients with persistent thrombotic microangiopathy might be considered.</w:t>
      </w:r>
      <w:hyperlink r:id="rId54" w:anchor="R37" w:history="1">
        <w:r w:rsidRPr="00155B11">
          <w:rPr>
            <w:rFonts w:ascii="Times New Roman" w:eastAsia="Times New Roman" w:hAnsi="Times New Roman" w:cs="Times New Roman"/>
            <w:color w:val="2F4A8B"/>
            <w:sz w:val="20"/>
            <w:szCs w:val="20"/>
            <w:u w:val="single"/>
            <w:vertAlign w:val="superscript"/>
          </w:rPr>
          <w:t>37</w:t>
        </w:r>
      </w:hyperlink>
      <w:r w:rsidRPr="00155B11">
        <w:rPr>
          <w:rFonts w:ascii="Times New Roman" w:eastAsia="Times New Roman" w:hAnsi="Times New Roman" w:cs="Times New Roman"/>
          <w:color w:val="000000"/>
          <w:sz w:val="20"/>
          <w:szCs w:val="20"/>
          <w:vertAlign w:val="superscript"/>
        </w:rPr>
        <w:t>–</w:t>
      </w:r>
      <w:hyperlink r:id="rId55" w:anchor="R39" w:history="1">
        <w:r w:rsidRPr="00155B11">
          <w:rPr>
            <w:rFonts w:ascii="Times New Roman" w:eastAsia="Times New Roman" w:hAnsi="Times New Roman" w:cs="Times New Roman"/>
            <w:color w:val="2F4A8B"/>
            <w:sz w:val="20"/>
            <w:szCs w:val="20"/>
            <w:u w:val="single"/>
            <w:vertAlign w:val="superscript"/>
          </w:rPr>
          <w:t>39</w:t>
        </w:r>
      </w:hyperlink>
    </w:p>
    <w:p w:rsidR="00155B11" w:rsidRPr="00155B11" w:rsidRDefault="00155B11" w:rsidP="00155B11">
      <w:pPr>
        <w:shd w:val="clear" w:color="auto" w:fill="FFFFFF"/>
        <w:spacing w:before="166" w:after="166" w:line="240" w:lineRule="auto"/>
        <w:rPr>
          <w:rFonts w:ascii="Times New Roman" w:eastAsia="Times New Roman" w:hAnsi="Times New Roman" w:cs="Times New Roman"/>
          <w:color w:val="000000"/>
          <w:sz w:val="24"/>
          <w:szCs w:val="24"/>
        </w:rPr>
      </w:pPr>
      <w:r w:rsidRPr="00155B11">
        <w:rPr>
          <w:rFonts w:ascii="Times New Roman" w:eastAsia="Times New Roman" w:hAnsi="Times New Roman" w:cs="Times New Roman"/>
          <w:color w:val="000000"/>
          <w:sz w:val="24"/>
          <w:szCs w:val="24"/>
        </w:rPr>
        <w:t>The ASFA gives a category III recommendation for TPE in Hematopoietic Stem Cell Transplant – Associated Thrombotic Microangiopathy.</w:t>
      </w:r>
      <w:hyperlink r:id="rId56" w:anchor="R1" w:history="1">
        <w:r w:rsidRPr="00155B11">
          <w:rPr>
            <w:rFonts w:ascii="Times New Roman" w:eastAsia="Times New Roman" w:hAnsi="Times New Roman" w:cs="Times New Roman"/>
            <w:color w:val="2F4A8B"/>
            <w:sz w:val="20"/>
            <w:szCs w:val="20"/>
            <w:u w:val="single"/>
            <w:vertAlign w:val="superscript"/>
          </w:rPr>
          <w:t>1</w:t>
        </w:r>
      </w:hyperlink>
      <w:r w:rsidRPr="00155B11">
        <w:rPr>
          <w:rFonts w:ascii="Times New Roman" w:eastAsia="Times New Roman" w:hAnsi="Times New Roman" w:cs="Times New Roman"/>
          <w:color w:val="000000"/>
          <w:sz w:val="24"/>
          <w:szCs w:val="24"/>
        </w:rPr>
        <w:t> The recommended TPE replacement fluid is plasma or plasma with cryoprecipitate removed.</w:t>
      </w:r>
    </w:p>
    <w:p w:rsidR="00155B11" w:rsidRPr="00155B11" w:rsidRDefault="00155B11" w:rsidP="00155B11">
      <w:pPr>
        <w:shd w:val="clear" w:color="auto" w:fill="FFFFFF"/>
        <w:spacing w:before="308" w:after="154" w:line="300" w:lineRule="atLeast"/>
        <w:outlineLvl w:val="2"/>
        <w:rPr>
          <w:rFonts w:ascii="Arial" w:eastAsia="Times New Roman" w:hAnsi="Arial" w:cs="Arial"/>
          <w:b/>
          <w:bCs/>
          <w:color w:val="724128"/>
          <w:sz w:val="24"/>
          <w:szCs w:val="24"/>
        </w:rPr>
      </w:pPr>
      <w:r w:rsidRPr="00155B11">
        <w:rPr>
          <w:rFonts w:ascii="Arial" w:eastAsia="Times New Roman" w:hAnsi="Arial" w:cs="Arial"/>
          <w:b/>
          <w:bCs/>
          <w:color w:val="724128"/>
          <w:sz w:val="24"/>
          <w:szCs w:val="24"/>
        </w:rPr>
        <w:t>Thrombotic Microangiopathy: Drug-Associated</w:t>
      </w:r>
    </w:p>
    <w:p w:rsidR="00155B11" w:rsidRPr="00155B11" w:rsidRDefault="00155B11" w:rsidP="00155B11">
      <w:pPr>
        <w:shd w:val="clear" w:color="auto" w:fill="FFFFFF"/>
        <w:spacing w:before="166" w:after="166" w:line="240" w:lineRule="auto"/>
        <w:rPr>
          <w:rFonts w:ascii="Times New Roman" w:eastAsia="Times New Roman" w:hAnsi="Times New Roman" w:cs="Times New Roman"/>
          <w:color w:val="000000"/>
          <w:sz w:val="24"/>
          <w:szCs w:val="24"/>
        </w:rPr>
      </w:pPr>
      <w:r w:rsidRPr="00155B11">
        <w:rPr>
          <w:rFonts w:ascii="Times New Roman" w:eastAsia="Times New Roman" w:hAnsi="Times New Roman" w:cs="Times New Roman"/>
          <w:color w:val="000000"/>
          <w:sz w:val="24"/>
          <w:szCs w:val="24"/>
        </w:rPr>
        <w:t>A number of drugs have been shown to activate platelets and/or cause endotheliopathy. Antiplatelet drugs such as ticlopidine and clopidogrel are members of the thienopyridine class of drugs which inhibit the adenosine diphosphate (ADP) receptor/P2Y12 on platelets. They have been shown to induce TTP-like pathophysiology with low ADAMTS-13 activities and clinical signs of thrombotic microangiopathy in rare cases.</w:t>
      </w:r>
      <w:hyperlink r:id="rId57" w:anchor="R40" w:history="1">
        <w:r w:rsidRPr="00155B11">
          <w:rPr>
            <w:rFonts w:ascii="Times New Roman" w:eastAsia="Times New Roman" w:hAnsi="Times New Roman" w:cs="Times New Roman"/>
            <w:color w:val="2F4A8B"/>
            <w:sz w:val="20"/>
            <w:szCs w:val="20"/>
            <w:u w:val="single"/>
            <w:vertAlign w:val="superscript"/>
          </w:rPr>
          <w:t>40</w:t>
        </w:r>
      </w:hyperlink>
      <w:r w:rsidRPr="00155B11">
        <w:rPr>
          <w:rFonts w:ascii="Times New Roman" w:eastAsia="Times New Roman" w:hAnsi="Times New Roman" w:cs="Times New Roman"/>
          <w:color w:val="000000"/>
          <w:sz w:val="20"/>
          <w:szCs w:val="20"/>
          <w:vertAlign w:val="superscript"/>
        </w:rPr>
        <w:t>–</w:t>
      </w:r>
      <w:hyperlink r:id="rId58" w:anchor="R42" w:history="1">
        <w:r w:rsidRPr="00155B11">
          <w:rPr>
            <w:rFonts w:ascii="Times New Roman" w:eastAsia="Times New Roman" w:hAnsi="Times New Roman" w:cs="Times New Roman"/>
            <w:color w:val="2F4A8B"/>
            <w:sz w:val="20"/>
            <w:szCs w:val="20"/>
            <w:u w:val="single"/>
            <w:vertAlign w:val="superscript"/>
          </w:rPr>
          <w:t>42</w:t>
        </w:r>
      </w:hyperlink>
      <w:r w:rsidRPr="00155B11">
        <w:rPr>
          <w:rFonts w:ascii="Times New Roman" w:eastAsia="Times New Roman" w:hAnsi="Times New Roman" w:cs="Times New Roman"/>
          <w:color w:val="000000"/>
          <w:sz w:val="24"/>
          <w:szCs w:val="24"/>
        </w:rPr>
        <w:t> Calcineurin inhibitors such as cyclosporine and tacrolimus have been reported to induce endotheliopathy progressing to thrombotic microangiopathy.</w:t>
      </w:r>
      <w:hyperlink r:id="rId59" w:anchor="R43" w:history="1">
        <w:r w:rsidRPr="00155B11">
          <w:rPr>
            <w:rFonts w:ascii="Times New Roman" w:eastAsia="Times New Roman" w:hAnsi="Times New Roman" w:cs="Times New Roman"/>
            <w:color w:val="2F4A8B"/>
            <w:sz w:val="20"/>
            <w:szCs w:val="20"/>
            <w:u w:val="single"/>
            <w:vertAlign w:val="superscript"/>
          </w:rPr>
          <w:t>43</w:t>
        </w:r>
      </w:hyperlink>
      <w:r w:rsidRPr="00155B11">
        <w:rPr>
          <w:rFonts w:ascii="Times New Roman" w:eastAsia="Times New Roman" w:hAnsi="Times New Roman" w:cs="Times New Roman"/>
          <w:color w:val="000000"/>
          <w:sz w:val="20"/>
          <w:szCs w:val="20"/>
          <w:vertAlign w:val="superscript"/>
        </w:rPr>
        <w:t>–</w:t>
      </w:r>
      <w:hyperlink r:id="rId60" w:anchor="R46" w:history="1">
        <w:r w:rsidRPr="00155B11">
          <w:rPr>
            <w:rFonts w:ascii="Times New Roman" w:eastAsia="Times New Roman" w:hAnsi="Times New Roman" w:cs="Times New Roman"/>
            <w:color w:val="2F4A8B"/>
            <w:sz w:val="20"/>
            <w:szCs w:val="20"/>
            <w:u w:val="single"/>
            <w:vertAlign w:val="superscript"/>
          </w:rPr>
          <w:t>46</w:t>
        </w:r>
      </w:hyperlink>
      <w:r w:rsidRPr="00155B11">
        <w:rPr>
          <w:rFonts w:ascii="Times New Roman" w:eastAsia="Times New Roman" w:hAnsi="Times New Roman" w:cs="Times New Roman"/>
          <w:color w:val="000000"/>
          <w:sz w:val="24"/>
          <w:szCs w:val="24"/>
        </w:rPr>
        <w:t> Management includes either stopping the offending drug or, if this is not an option, at least reducing the drug intake. TPE is thought to be beneficial similar to its use in acquired TTP.</w:t>
      </w:r>
    </w:p>
    <w:p w:rsidR="00155B11" w:rsidRPr="00155B11" w:rsidRDefault="00155B11" w:rsidP="00155B11">
      <w:pPr>
        <w:shd w:val="clear" w:color="auto" w:fill="FFFFFF"/>
        <w:spacing w:before="166" w:after="166" w:line="240" w:lineRule="auto"/>
        <w:rPr>
          <w:rFonts w:ascii="Times New Roman" w:eastAsia="Times New Roman" w:hAnsi="Times New Roman" w:cs="Times New Roman"/>
          <w:color w:val="000000"/>
          <w:sz w:val="24"/>
          <w:szCs w:val="24"/>
        </w:rPr>
      </w:pPr>
      <w:r w:rsidRPr="00155B11">
        <w:rPr>
          <w:rFonts w:ascii="Times New Roman" w:eastAsia="Times New Roman" w:hAnsi="Times New Roman" w:cs="Times New Roman"/>
          <w:color w:val="000000"/>
          <w:sz w:val="24"/>
          <w:szCs w:val="24"/>
        </w:rPr>
        <w:t>The ASFA gives a category I recommendation for TPE in ticlopedine or clopidogrel and category III for TPE in cycloporine or tacrolimus-Associated Thrombotic Microangiopathy.</w:t>
      </w:r>
      <w:hyperlink r:id="rId61" w:anchor="R1" w:history="1">
        <w:r w:rsidRPr="00155B11">
          <w:rPr>
            <w:rFonts w:ascii="Times New Roman" w:eastAsia="Times New Roman" w:hAnsi="Times New Roman" w:cs="Times New Roman"/>
            <w:color w:val="2F4A8B"/>
            <w:sz w:val="20"/>
            <w:szCs w:val="20"/>
            <w:u w:val="single"/>
            <w:vertAlign w:val="superscript"/>
          </w:rPr>
          <w:t>1</w:t>
        </w:r>
      </w:hyperlink>
      <w:r w:rsidRPr="00155B11">
        <w:rPr>
          <w:rFonts w:ascii="Times New Roman" w:eastAsia="Times New Roman" w:hAnsi="Times New Roman" w:cs="Times New Roman"/>
          <w:color w:val="000000"/>
          <w:sz w:val="24"/>
          <w:szCs w:val="24"/>
        </w:rPr>
        <w:t> The recommended TPE replacement fluid is plasma or plasma with cryoprecipitate removed.</w:t>
      </w:r>
    </w:p>
    <w:p w:rsidR="00155B11" w:rsidRDefault="00155B11"/>
    <w:p w:rsidR="00155B11" w:rsidRDefault="00155B11"/>
    <w:p w:rsidR="00155B11" w:rsidRPr="00155B11" w:rsidRDefault="00155B11" w:rsidP="00155B11">
      <w:pPr>
        <w:pBdr>
          <w:bottom w:val="single" w:sz="6" w:space="0" w:color="97B0C8"/>
        </w:pBdr>
        <w:shd w:val="clear" w:color="auto" w:fill="FFFFFF"/>
        <w:spacing w:before="270" w:after="0" w:line="267" w:lineRule="atLeast"/>
        <w:outlineLvl w:val="1"/>
        <w:rPr>
          <w:rFonts w:ascii="Arial" w:eastAsia="Times New Roman" w:hAnsi="Arial" w:cs="Arial"/>
          <w:b/>
          <w:bCs/>
          <w:color w:val="985735"/>
          <w:sz w:val="27"/>
          <w:szCs w:val="27"/>
        </w:rPr>
      </w:pPr>
      <w:r w:rsidRPr="00155B11">
        <w:rPr>
          <w:rFonts w:ascii="Arial" w:eastAsia="Times New Roman" w:hAnsi="Arial" w:cs="Arial"/>
          <w:b/>
          <w:bCs/>
          <w:color w:val="985735"/>
          <w:sz w:val="27"/>
          <w:szCs w:val="27"/>
        </w:rPr>
        <w:t>Vasculitides</w:t>
      </w:r>
    </w:p>
    <w:p w:rsidR="00155B11" w:rsidRPr="00155B11" w:rsidRDefault="00155B11" w:rsidP="00155B11">
      <w:pPr>
        <w:shd w:val="clear" w:color="auto" w:fill="FFFFFF"/>
        <w:spacing w:before="308" w:after="154" w:line="300" w:lineRule="atLeast"/>
        <w:outlineLvl w:val="2"/>
        <w:rPr>
          <w:rFonts w:ascii="Arial" w:eastAsia="Times New Roman" w:hAnsi="Arial" w:cs="Arial"/>
          <w:b/>
          <w:bCs/>
          <w:color w:val="724128"/>
          <w:sz w:val="24"/>
          <w:szCs w:val="24"/>
        </w:rPr>
      </w:pPr>
      <w:r w:rsidRPr="00155B11">
        <w:rPr>
          <w:rFonts w:ascii="Arial" w:eastAsia="Times New Roman" w:hAnsi="Arial" w:cs="Arial"/>
          <w:b/>
          <w:bCs/>
          <w:color w:val="724128"/>
          <w:sz w:val="24"/>
          <w:szCs w:val="24"/>
        </w:rPr>
        <w:t>Catastrophic Antiphospholipid Syndrome (CAPS)</w:t>
      </w:r>
    </w:p>
    <w:p w:rsidR="00155B11" w:rsidRPr="00155B11" w:rsidRDefault="00155B11" w:rsidP="00155B11">
      <w:pPr>
        <w:shd w:val="clear" w:color="auto" w:fill="FFFFFF"/>
        <w:spacing w:before="166" w:after="166" w:line="240" w:lineRule="auto"/>
        <w:rPr>
          <w:rFonts w:ascii="Times New Roman" w:eastAsia="Times New Roman" w:hAnsi="Times New Roman" w:cs="Times New Roman"/>
          <w:color w:val="000000"/>
          <w:sz w:val="24"/>
          <w:szCs w:val="24"/>
        </w:rPr>
      </w:pPr>
      <w:r w:rsidRPr="00155B11">
        <w:rPr>
          <w:rFonts w:ascii="Times New Roman" w:eastAsia="Times New Roman" w:hAnsi="Times New Roman" w:cs="Times New Roman"/>
          <w:color w:val="000000"/>
          <w:sz w:val="24"/>
          <w:szCs w:val="24"/>
        </w:rPr>
        <w:t>This syndrome is often grouped with vasculitides as it is diagnosed by rheumatologists. However, CAPS is a thrombotic microangiopathy and has significant overlap with TTP, HUS, DIC and TAMOF. Please refer to the above section of Thrombotic Microangiopathies for a review of CAPS.</w:t>
      </w:r>
    </w:p>
    <w:p w:rsidR="00155B11" w:rsidRPr="00155B11" w:rsidRDefault="00155B11" w:rsidP="00155B11">
      <w:pPr>
        <w:shd w:val="clear" w:color="auto" w:fill="FFFFFF"/>
        <w:spacing w:before="308" w:after="154" w:line="300" w:lineRule="atLeast"/>
        <w:outlineLvl w:val="2"/>
        <w:rPr>
          <w:rFonts w:ascii="Arial" w:eastAsia="Times New Roman" w:hAnsi="Arial" w:cs="Arial"/>
          <w:b/>
          <w:bCs/>
          <w:color w:val="724128"/>
          <w:sz w:val="24"/>
          <w:szCs w:val="24"/>
        </w:rPr>
      </w:pPr>
      <w:r w:rsidRPr="00155B11">
        <w:rPr>
          <w:rFonts w:ascii="Arial" w:eastAsia="Times New Roman" w:hAnsi="Arial" w:cs="Arial"/>
          <w:b/>
          <w:bCs/>
          <w:color w:val="724128"/>
          <w:sz w:val="24"/>
          <w:szCs w:val="24"/>
        </w:rPr>
        <w:t>Systemic Lupus Erythematosus (SLE)</w:t>
      </w:r>
    </w:p>
    <w:p w:rsidR="00155B11" w:rsidRPr="00155B11" w:rsidRDefault="00155B11" w:rsidP="00155B11">
      <w:pPr>
        <w:shd w:val="clear" w:color="auto" w:fill="FFFFFF"/>
        <w:spacing w:before="166" w:after="166" w:line="240" w:lineRule="auto"/>
        <w:rPr>
          <w:rFonts w:ascii="Times New Roman" w:eastAsia="Times New Roman" w:hAnsi="Times New Roman" w:cs="Times New Roman"/>
          <w:color w:val="000000"/>
          <w:sz w:val="24"/>
          <w:szCs w:val="24"/>
        </w:rPr>
      </w:pPr>
      <w:r w:rsidRPr="00155B11">
        <w:rPr>
          <w:rFonts w:ascii="Times New Roman" w:eastAsia="Times New Roman" w:hAnsi="Times New Roman" w:cs="Times New Roman"/>
          <w:color w:val="000000"/>
          <w:sz w:val="24"/>
          <w:szCs w:val="24"/>
        </w:rPr>
        <w:t xml:space="preserve">SLE is an autoimmune disorder that causes chronic inflammation due to circulating auto-antibodies, immune complexes and complement deposition. SLE is much more common in women than in men. Clinical symptoms such as malaise, arthritis, rash and fever, are non-specific and often vary from person to person. However, severe progression of disease can occur with involvement of virtually any organ with consequent manifestations such as stroke, renal </w:t>
      </w:r>
      <w:r w:rsidRPr="00155B11">
        <w:rPr>
          <w:rFonts w:ascii="Times New Roman" w:eastAsia="Times New Roman" w:hAnsi="Times New Roman" w:cs="Times New Roman"/>
          <w:color w:val="000000"/>
          <w:sz w:val="24"/>
          <w:szCs w:val="24"/>
        </w:rPr>
        <w:lastRenderedPageBreak/>
        <w:t>failure, pulmonary hemorrhage, myocarditis, hemolytic anemia, and pulmonary embolism. Confirmatory tests include the presence of specific anti-nuclear antibodies such as anti-double stranded DNA and anti-Smith antibodies. First line therapy includes anti-inflammatory and immunosuppressive agents. However, when severe SLE presents with cerebritis or pulmonary hemorrhage, TPE is recommended.</w:t>
      </w:r>
      <w:hyperlink r:id="rId62" w:anchor="R47" w:history="1">
        <w:r w:rsidRPr="00155B11">
          <w:rPr>
            <w:rFonts w:ascii="Times New Roman" w:eastAsia="Times New Roman" w:hAnsi="Times New Roman" w:cs="Times New Roman"/>
            <w:color w:val="2F4A8B"/>
            <w:sz w:val="20"/>
            <w:szCs w:val="20"/>
            <w:u w:val="single"/>
            <w:vertAlign w:val="superscript"/>
          </w:rPr>
          <w:t>47</w:t>
        </w:r>
      </w:hyperlink>
      <w:r w:rsidRPr="00155B11">
        <w:rPr>
          <w:rFonts w:ascii="Times New Roman" w:eastAsia="Times New Roman" w:hAnsi="Times New Roman" w:cs="Times New Roman"/>
          <w:color w:val="000000"/>
          <w:sz w:val="20"/>
          <w:szCs w:val="20"/>
          <w:vertAlign w:val="superscript"/>
        </w:rPr>
        <w:t>–</w:t>
      </w:r>
      <w:hyperlink r:id="rId63" w:anchor="R50" w:history="1">
        <w:r w:rsidRPr="00155B11">
          <w:rPr>
            <w:rFonts w:ascii="Times New Roman" w:eastAsia="Times New Roman" w:hAnsi="Times New Roman" w:cs="Times New Roman"/>
            <w:color w:val="2F4A8B"/>
            <w:sz w:val="20"/>
            <w:szCs w:val="20"/>
            <w:u w:val="single"/>
            <w:vertAlign w:val="superscript"/>
          </w:rPr>
          <w:t>50</w:t>
        </w:r>
      </w:hyperlink>
    </w:p>
    <w:p w:rsidR="00155B11" w:rsidRPr="00155B11" w:rsidRDefault="00155B11" w:rsidP="00155B11">
      <w:pPr>
        <w:shd w:val="clear" w:color="auto" w:fill="FFFFFF"/>
        <w:spacing w:before="166" w:after="166" w:line="240" w:lineRule="auto"/>
        <w:rPr>
          <w:rFonts w:ascii="Times New Roman" w:eastAsia="Times New Roman" w:hAnsi="Times New Roman" w:cs="Times New Roman"/>
          <w:color w:val="000000"/>
          <w:sz w:val="24"/>
          <w:szCs w:val="24"/>
        </w:rPr>
      </w:pPr>
      <w:r w:rsidRPr="00155B11">
        <w:rPr>
          <w:rFonts w:ascii="Times New Roman" w:eastAsia="Times New Roman" w:hAnsi="Times New Roman" w:cs="Times New Roman"/>
          <w:color w:val="000000"/>
          <w:sz w:val="24"/>
          <w:szCs w:val="24"/>
        </w:rPr>
        <w:t>The ASFA gives a category II recommendation for TPE in severe SLE such as with cerebritis or diffuse alveolar hemorrhage.</w:t>
      </w:r>
      <w:hyperlink r:id="rId64" w:anchor="R1" w:history="1">
        <w:r w:rsidRPr="00155B11">
          <w:rPr>
            <w:rFonts w:ascii="Times New Roman" w:eastAsia="Times New Roman" w:hAnsi="Times New Roman" w:cs="Times New Roman"/>
            <w:color w:val="2F4A8B"/>
            <w:sz w:val="20"/>
            <w:szCs w:val="20"/>
            <w:u w:val="single"/>
            <w:vertAlign w:val="superscript"/>
          </w:rPr>
          <w:t>1</w:t>
        </w:r>
      </w:hyperlink>
      <w:r w:rsidRPr="00155B11">
        <w:rPr>
          <w:rFonts w:ascii="Times New Roman" w:eastAsia="Times New Roman" w:hAnsi="Times New Roman" w:cs="Times New Roman"/>
          <w:color w:val="000000"/>
          <w:sz w:val="24"/>
          <w:szCs w:val="24"/>
        </w:rPr>
        <w:t> The ASFA does not recommend TPE (category IV) for SLE-associated nephritis. TPE is thought to remove auto-antibodies, complement, interferon alpha, and immune complexes.</w:t>
      </w:r>
      <w:hyperlink r:id="rId65" w:anchor="R51" w:history="1">
        <w:r w:rsidRPr="00155B11">
          <w:rPr>
            <w:rFonts w:ascii="Times New Roman" w:eastAsia="Times New Roman" w:hAnsi="Times New Roman" w:cs="Times New Roman"/>
            <w:color w:val="2F4A8B"/>
            <w:sz w:val="20"/>
            <w:szCs w:val="20"/>
            <w:u w:val="single"/>
            <w:vertAlign w:val="superscript"/>
          </w:rPr>
          <w:t>51</w:t>
        </w:r>
      </w:hyperlink>
      <w:r w:rsidRPr="00155B11">
        <w:rPr>
          <w:rFonts w:ascii="Times New Roman" w:eastAsia="Times New Roman" w:hAnsi="Times New Roman" w:cs="Times New Roman"/>
          <w:color w:val="000000"/>
          <w:sz w:val="20"/>
          <w:szCs w:val="20"/>
          <w:vertAlign w:val="superscript"/>
        </w:rPr>
        <w:t>,</w:t>
      </w:r>
      <w:hyperlink r:id="rId66" w:anchor="R52" w:history="1">
        <w:r w:rsidRPr="00155B11">
          <w:rPr>
            <w:rFonts w:ascii="Times New Roman" w:eastAsia="Times New Roman" w:hAnsi="Times New Roman" w:cs="Times New Roman"/>
            <w:color w:val="2F4A8B"/>
            <w:sz w:val="20"/>
            <w:szCs w:val="20"/>
            <w:u w:val="single"/>
            <w:vertAlign w:val="superscript"/>
          </w:rPr>
          <w:t>52</w:t>
        </w:r>
      </w:hyperlink>
      <w:r w:rsidRPr="00155B11">
        <w:rPr>
          <w:rFonts w:ascii="Times New Roman" w:eastAsia="Times New Roman" w:hAnsi="Times New Roman" w:cs="Times New Roman"/>
          <w:color w:val="000000"/>
          <w:sz w:val="24"/>
          <w:szCs w:val="24"/>
        </w:rPr>
        <w:t> The recommended TPE replacement fluid is either plasma or albumin.</w:t>
      </w:r>
    </w:p>
    <w:p w:rsidR="00155B11" w:rsidRPr="00155B11" w:rsidRDefault="00155B11" w:rsidP="00155B11">
      <w:pPr>
        <w:pBdr>
          <w:bottom w:val="single" w:sz="6" w:space="0" w:color="97B0C8"/>
        </w:pBdr>
        <w:shd w:val="clear" w:color="auto" w:fill="FFFFFF"/>
        <w:spacing w:before="270" w:after="0" w:line="267" w:lineRule="atLeast"/>
        <w:outlineLvl w:val="1"/>
        <w:rPr>
          <w:rFonts w:ascii="Arial" w:eastAsia="Times New Roman" w:hAnsi="Arial" w:cs="Arial"/>
          <w:b/>
          <w:bCs/>
          <w:color w:val="985735"/>
          <w:sz w:val="27"/>
          <w:szCs w:val="27"/>
        </w:rPr>
      </w:pPr>
      <w:r w:rsidRPr="00155B11">
        <w:rPr>
          <w:rFonts w:ascii="Arial" w:eastAsia="Times New Roman" w:hAnsi="Arial" w:cs="Arial"/>
          <w:b/>
          <w:bCs/>
          <w:color w:val="985735"/>
          <w:sz w:val="27"/>
          <w:szCs w:val="27"/>
        </w:rPr>
        <w:t>Liver failure</w:t>
      </w:r>
    </w:p>
    <w:p w:rsidR="00155B11" w:rsidRPr="00155B11" w:rsidRDefault="00155B11" w:rsidP="00155B11">
      <w:pPr>
        <w:shd w:val="clear" w:color="auto" w:fill="FFFFFF"/>
        <w:spacing w:before="308" w:after="154" w:line="300" w:lineRule="atLeast"/>
        <w:outlineLvl w:val="2"/>
        <w:rPr>
          <w:rFonts w:ascii="Arial" w:eastAsia="Times New Roman" w:hAnsi="Arial" w:cs="Arial"/>
          <w:b/>
          <w:bCs/>
          <w:color w:val="724128"/>
          <w:sz w:val="24"/>
          <w:szCs w:val="24"/>
        </w:rPr>
      </w:pPr>
      <w:r w:rsidRPr="00155B11">
        <w:rPr>
          <w:rFonts w:ascii="Arial" w:eastAsia="Times New Roman" w:hAnsi="Arial" w:cs="Arial"/>
          <w:b/>
          <w:bCs/>
          <w:color w:val="724128"/>
          <w:sz w:val="24"/>
          <w:szCs w:val="24"/>
        </w:rPr>
        <w:t>Wilson’s disease in fulminant hepatic failure with hemolysis</w:t>
      </w:r>
    </w:p>
    <w:p w:rsidR="00155B11" w:rsidRPr="00155B11" w:rsidRDefault="00155B11" w:rsidP="00155B11">
      <w:pPr>
        <w:shd w:val="clear" w:color="auto" w:fill="FFFFFF"/>
        <w:spacing w:before="166" w:after="166" w:line="240" w:lineRule="auto"/>
        <w:rPr>
          <w:rFonts w:ascii="Times New Roman" w:eastAsia="Times New Roman" w:hAnsi="Times New Roman" w:cs="Times New Roman"/>
          <w:color w:val="000000"/>
          <w:sz w:val="24"/>
          <w:szCs w:val="24"/>
        </w:rPr>
      </w:pPr>
      <w:r w:rsidRPr="00155B11">
        <w:rPr>
          <w:rFonts w:ascii="Times New Roman" w:eastAsia="Times New Roman" w:hAnsi="Times New Roman" w:cs="Times New Roman"/>
          <w:color w:val="000000"/>
          <w:sz w:val="24"/>
          <w:szCs w:val="24"/>
        </w:rPr>
        <w:t>Wilson’s disease is an autosomal recessive genetic disorder that results in excessive accumulation of copper in the liver, brain, cornea, kidney and heart.</w:t>
      </w:r>
      <w:hyperlink r:id="rId67" w:anchor="R53" w:history="1">
        <w:r w:rsidRPr="00155B11">
          <w:rPr>
            <w:rFonts w:ascii="Times New Roman" w:eastAsia="Times New Roman" w:hAnsi="Times New Roman" w:cs="Times New Roman"/>
            <w:color w:val="2F4A8B"/>
            <w:sz w:val="20"/>
            <w:szCs w:val="20"/>
            <w:u w:val="single"/>
            <w:vertAlign w:val="superscript"/>
          </w:rPr>
          <w:t>53</w:t>
        </w:r>
      </w:hyperlink>
      <w:r w:rsidRPr="00155B11">
        <w:rPr>
          <w:rFonts w:ascii="Times New Roman" w:eastAsia="Times New Roman" w:hAnsi="Times New Roman" w:cs="Times New Roman"/>
          <w:color w:val="000000"/>
          <w:sz w:val="24"/>
          <w:szCs w:val="24"/>
        </w:rPr>
        <w:t> The genetic mutation is on the ATP7B gene, which codes for P-type ATPase (cation transport enzyme). This leads to impaired biliary copper excretion and linkage of copper to ceruloplasmin, a copper-carrying protein. As copper continues to accumulate in the liver, patients may present with asymptomatic elevation of liver enzymes, hepatitis, cirrhosis or with fulminant liver failure. These patients may also present with hemolytic anemia due to copper inhibition of red blood cells energy metabolism or direct damage to the cell membrane. When patients with Wilson’s disease present with fulminant liver failure, it is thought that a significant amount of copper is released from necrotic hepatocytes. Plasma-free copper then causes rapid destruction of red cells which leads to rapid release of plasma-free hemoglobin. Elevated plasma-free hemoglobin has been shown to cause oxidative stress, nitric oxide depletion, endotheliopathy, microvascular thrombosis, and multiple organ failure. The only definite therapy is liver transplantation. However, without aggressive support, the patient is at risk of succumbing prior to liver transplantation.</w:t>
      </w:r>
    </w:p>
    <w:p w:rsidR="00155B11" w:rsidRPr="00155B11" w:rsidRDefault="00155B11" w:rsidP="00155B11">
      <w:pPr>
        <w:shd w:val="clear" w:color="auto" w:fill="FFFFFF"/>
        <w:spacing w:before="166" w:after="166" w:line="240" w:lineRule="auto"/>
        <w:rPr>
          <w:rFonts w:ascii="Times New Roman" w:eastAsia="Times New Roman" w:hAnsi="Times New Roman" w:cs="Times New Roman"/>
          <w:color w:val="000000"/>
          <w:sz w:val="24"/>
          <w:szCs w:val="24"/>
        </w:rPr>
      </w:pPr>
      <w:r w:rsidRPr="00155B11">
        <w:rPr>
          <w:rFonts w:ascii="Times New Roman" w:eastAsia="Times New Roman" w:hAnsi="Times New Roman" w:cs="Times New Roman"/>
          <w:color w:val="000000"/>
          <w:sz w:val="24"/>
          <w:szCs w:val="24"/>
        </w:rPr>
        <w:t>The ASFA gives a category I recommendation for TPE in Fulminant Hepatic Failure with Hemolysis.</w:t>
      </w:r>
      <w:hyperlink r:id="rId68" w:anchor="R1" w:history="1">
        <w:r w:rsidRPr="00155B11">
          <w:rPr>
            <w:rFonts w:ascii="Times New Roman" w:eastAsia="Times New Roman" w:hAnsi="Times New Roman" w:cs="Times New Roman"/>
            <w:color w:val="2F4A8B"/>
            <w:sz w:val="20"/>
            <w:szCs w:val="20"/>
            <w:u w:val="single"/>
            <w:vertAlign w:val="superscript"/>
          </w:rPr>
          <w:t>1</w:t>
        </w:r>
      </w:hyperlink>
      <w:r w:rsidRPr="00155B11">
        <w:rPr>
          <w:rFonts w:ascii="Times New Roman" w:eastAsia="Times New Roman" w:hAnsi="Times New Roman" w:cs="Times New Roman"/>
          <w:color w:val="000000"/>
          <w:sz w:val="24"/>
          <w:szCs w:val="24"/>
        </w:rPr>
        <w:t> TPE is thought to provide rapid removal of plasma-free copper and hemoglobin.</w:t>
      </w:r>
      <w:hyperlink r:id="rId69" w:anchor="R54" w:history="1">
        <w:r w:rsidRPr="00155B11">
          <w:rPr>
            <w:rFonts w:ascii="Times New Roman" w:eastAsia="Times New Roman" w:hAnsi="Times New Roman" w:cs="Times New Roman"/>
            <w:color w:val="2F4A8B"/>
            <w:sz w:val="20"/>
            <w:szCs w:val="20"/>
            <w:u w:val="single"/>
            <w:vertAlign w:val="superscript"/>
          </w:rPr>
          <w:t>54</w:t>
        </w:r>
      </w:hyperlink>
      <w:r w:rsidRPr="00155B11">
        <w:rPr>
          <w:rFonts w:ascii="Times New Roman" w:eastAsia="Times New Roman" w:hAnsi="Times New Roman" w:cs="Times New Roman"/>
          <w:color w:val="000000"/>
          <w:sz w:val="20"/>
          <w:szCs w:val="20"/>
          <w:vertAlign w:val="superscript"/>
        </w:rPr>
        <w:t>–</w:t>
      </w:r>
      <w:hyperlink r:id="rId70" w:anchor="R58" w:history="1">
        <w:r w:rsidRPr="00155B11">
          <w:rPr>
            <w:rFonts w:ascii="Times New Roman" w:eastAsia="Times New Roman" w:hAnsi="Times New Roman" w:cs="Times New Roman"/>
            <w:color w:val="2F4A8B"/>
            <w:sz w:val="20"/>
            <w:szCs w:val="20"/>
            <w:u w:val="single"/>
            <w:vertAlign w:val="superscript"/>
          </w:rPr>
          <w:t>58</w:t>
        </w:r>
      </w:hyperlink>
      <w:r w:rsidRPr="00155B11">
        <w:rPr>
          <w:rFonts w:ascii="Times New Roman" w:eastAsia="Times New Roman" w:hAnsi="Times New Roman" w:cs="Times New Roman"/>
          <w:color w:val="000000"/>
          <w:sz w:val="24"/>
          <w:szCs w:val="24"/>
        </w:rPr>
        <w:t> The recommended TPE replacement fluid is plasma.</w:t>
      </w:r>
    </w:p>
    <w:p w:rsidR="00155B11" w:rsidRPr="00155B11" w:rsidRDefault="00155B11" w:rsidP="00155B11">
      <w:pPr>
        <w:shd w:val="clear" w:color="auto" w:fill="FFFFFF"/>
        <w:spacing w:before="308" w:after="154" w:line="300" w:lineRule="atLeast"/>
        <w:outlineLvl w:val="2"/>
        <w:rPr>
          <w:rFonts w:ascii="Arial" w:eastAsia="Times New Roman" w:hAnsi="Arial" w:cs="Arial"/>
          <w:b/>
          <w:bCs/>
          <w:color w:val="724128"/>
          <w:sz w:val="24"/>
          <w:szCs w:val="24"/>
        </w:rPr>
      </w:pPr>
      <w:r w:rsidRPr="00155B11">
        <w:rPr>
          <w:rFonts w:ascii="Arial" w:eastAsia="Times New Roman" w:hAnsi="Arial" w:cs="Arial"/>
          <w:b/>
          <w:bCs/>
          <w:color w:val="724128"/>
          <w:sz w:val="24"/>
          <w:szCs w:val="24"/>
        </w:rPr>
        <w:t>Acute fulminant liver failure</w:t>
      </w:r>
    </w:p>
    <w:p w:rsidR="00155B11" w:rsidRPr="00155B11" w:rsidRDefault="00155B11" w:rsidP="00155B11">
      <w:pPr>
        <w:shd w:val="clear" w:color="auto" w:fill="FFFFFF"/>
        <w:spacing w:before="166" w:after="166" w:line="240" w:lineRule="auto"/>
        <w:rPr>
          <w:rFonts w:ascii="Times New Roman" w:eastAsia="Times New Roman" w:hAnsi="Times New Roman" w:cs="Times New Roman"/>
          <w:color w:val="000000"/>
          <w:sz w:val="24"/>
          <w:szCs w:val="24"/>
        </w:rPr>
      </w:pPr>
      <w:r w:rsidRPr="00155B11">
        <w:rPr>
          <w:rFonts w:ascii="Times New Roman" w:eastAsia="Times New Roman" w:hAnsi="Times New Roman" w:cs="Times New Roman"/>
          <w:color w:val="000000"/>
          <w:sz w:val="24"/>
          <w:szCs w:val="24"/>
        </w:rPr>
        <w:t>Acute fulminant liver failure has many causes and can develop from previously healthy liver or from chronic liver failure.</w:t>
      </w:r>
      <w:hyperlink r:id="rId71" w:anchor="R59" w:history="1">
        <w:r w:rsidRPr="00155B11">
          <w:rPr>
            <w:rFonts w:ascii="Times New Roman" w:eastAsia="Times New Roman" w:hAnsi="Times New Roman" w:cs="Times New Roman"/>
            <w:color w:val="2F4A8B"/>
            <w:sz w:val="20"/>
            <w:szCs w:val="20"/>
            <w:u w:val="single"/>
            <w:vertAlign w:val="superscript"/>
          </w:rPr>
          <w:t>59</w:t>
        </w:r>
      </w:hyperlink>
      <w:r w:rsidRPr="00155B11">
        <w:rPr>
          <w:rFonts w:ascii="Times New Roman" w:eastAsia="Times New Roman" w:hAnsi="Times New Roman" w:cs="Times New Roman"/>
          <w:color w:val="000000"/>
          <w:sz w:val="24"/>
          <w:szCs w:val="24"/>
        </w:rPr>
        <w:t> The liver has four major functions including protein synthesis, toxin clearance, gluconeogenesis/glycolysis, and biliary clearance. When the functions of protein synthesis and toxin clearance are severely compromised, severe clinical deterioration ensues. The liver synthesizes most of the major coagulation proteases. Without these, patients may develop severe coagulopathy and are at high risk of spontaneous hemorrhages, especially in the brain. In addition, patients are also at high risk for developing severe cerebral edema due to accumulation of toxins such as ammonia, endogenous benzodiazepines, and aromatic amino acids etc…</w:t>
      </w:r>
      <w:hyperlink r:id="rId72" w:anchor="R60" w:history="1">
        <w:r w:rsidRPr="00155B11">
          <w:rPr>
            <w:rFonts w:ascii="Times New Roman" w:eastAsia="Times New Roman" w:hAnsi="Times New Roman" w:cs="Times New Roman"/>
            <w:color w:val="2F4A8B"/>
            <w:sz w:val="20"/>
            <w:szCs w:val="20"/>
            <w:u w:val="single"/>
            <w:vertAlign w:val="superscript"/>
          </w:rPr>
          <w:t>60</w:t>
        </w:r>
      </w:hyperlink>
      <w:r w:rsidRPr="00155B11">
        <w:rPr>
          <w:rFonts w:ascii="Times New Roman" w:eastAsia="Times New Roman" w:hAnsi="Times New Roman" w:cs="Times New Roman"/>
          <w:color w:val="000000"/>
          <w:sz w:val="20"/>
          <w:szCs w:val="20"/>
          <w:vertAlign w:val="superscript"/>
        </w:rPr>
        <w:t>,</w:t>
      </w:r>
      <w:hyperlink r:id="rId73" w:anchor="R61" w:history="1">
        <w:r w:rsidRPr="00155B11">
          <w:rPr>
            <w:rFonts w:ascii="Times New Roman" w:eastAsia="Times New Roman" w:hAnsi="Times New Roman" w:cs="Times New Roman"/>
            <w:color w:val="2F4A8B"/>
            <w:sz w:val="20"/>
            <w:szCs w:val="20"/>
            <w:u w:val="single"/>
            <w:vertAlign w:val="superscript"/>
          </w:rPr>
          <w:t>61</w:t>
        </w:r>
      </w:hyperlink>
      <w:r w:rsidRPr="00155B11">
        <w:rPr>
          <w:rFonts w:ascii="Times New Roman" w:eastAsia="Times New Roman" w:hAnsi="Times New Roman" w:cs="Times New Roman"/>
          <w:color w:val="000000"/>
          <w:sz w:val="24"/>
          <w:szCs w:val="24"/>
        </w:rPr>
        <w:t> If there is no spontaneous recovery of liver function, patients will require liver transplantation. Currently, there are no U.S. Food and Drug Administration approved liver-</w:t>
      </w:r>
      <w:r w:rsidRPr="00155B11">
        <w:rPr>
          <w:rFonts w:ascii="Times New Roman" w:eastAsia="Times New Roman" w:hAnsi="Times New Roman" w:cs="Times New Roman"/>
          <w:color w:val="000000"/>
          <w:sz w:val="24"/>
          <w:szCs w:val="24"/>
        </w:rPr>
        <w:lastRenderedPageBreak/>
        <w:t>support devices. Clinicians are only able to provide supportive care for these patients such as transfusion of blood products, securing the airway for hepatic coma, providing medical support for increase intracranial pressure, providing hemodynamic support and appropriate antibiotics. These strategies, however, do not address the accumulation of toxins in the plasma. Furthermore, large amount of blood product transfusions and the commonly associated hepato-renal syndrome will inevitably lead to severe fluid overload. TPE is thought to remove the accumulation of toxins in the plasma and to restore coagulation back to its homeostasis milieu without fluid overloading the patients.</w:t>
      </w:r>
      <w:hyperlink r:id="rId74" w:anchor="R60" w:history="1">
        <w:r w:rsidRPr="00155B11">
          <w:rPr>
            <w:rFonts w:ascii="Times New Roman" w:eastAsia="Times New Roman" w:hAnsi="Times New Roman" w:cs="Times New Roman"/>
            <w:color w:val="2F4A8B"/>
            <w:sz w:val="20"/>
            <w:szCs w:val="20"/>
            <w:u w:val="single"/>
            <w:vertAlign w:val="superscript"/>
          </w:rPr>
          <w:t>60</w:t>
        </w:r>
      </w:hyperlink>
      <w:r w:rsidRPr="00155B11">
        <w:rPr>
          <w:rFonts w:ascii="Times New Roman" w:eastAsia="Times New Roman" w:hAnsi="Times New Roman" w:cs="Times New Roman"/>
          <w:color w:val="000000"/>
          <w:sz w:val="20"/>
          <w:szCs w:val="20"/>
          <w:vertAlign w:val="superscript"/>
        </w:rPr>
        <w:t>,</w:t>
      </w:r>
      <w:hyperlink r:id="rId75" w:anchor="R62" w:history="1">
        <w:r w:rsidRPr="00155B11">
          <w:rPr>
            <w:rFonts w:ascii="Times New Roman" w:eastAsia="Times New Roman" w:hAnsi="Times New Roman" w:cs="Times New Roman"/>
            <w:color w:val="2F4A8B"/>
            <w:sz w:val="20"/>
            <w:szCs w:val="20"/>
            <w:u w:val="single"/>
            <w:vertAlign w:val="superscript"/>
          </w:rPr>
          <w:t>62</w:t>
        </w:r>
      </w:hyperlink>
      <w:r w:rsidRPr="00155B11">
        <w:rPr>
          <w:rFonts w:ascii="Times New Roman" w:eastAsia="Times New Roman" w:hAnsi="Times New Roman" w:cs="Times New Roman"/>
          <w:color w:val="000000"/>
          <w:sz w:val="20"/>
          <w:szCs w:val="20"/>
          <w:vertAlign w:val="superscript"/>
        </w:rPr>
        <w:t>–</w:t>
      </w:r>
      <w:hyperlink r:id="rId76" w:anchor="R64" w:history="1">
        <w:r w:rsidRPr="00155B11">
          <w:rPr>
            <w:rFonts w:ascii="Times New Roman" w:eastAsia="Times New Roman" w:hAnsi="Times New Roman" w:cs="Times New Roman"/>
            <w:color w:val="2F4A8B"/>
            <w:sz w:val="20"/>
            <w:szCs w:val="20"/>
            <w:u w:val="single"/>
            <w:vertAlign w:val="superscript"/>
          </w:rPr>
          <w:t>64</w:t>
        </w:r>
      </w:hyperlink>
    </w:p>
    <w:p w:rsidR="00155B11" w:rsidRPr="00155B11" w:rsidRDefault="00155B11" w:rsidP="00155B11">
      <w:pPr>
        <w:shd w:val="clear" w:color="auto" w:fill="FFFFFF"/>
        <w:spacing w:before="166" w:after="166" w:line="240" w:lineRule="auto"/>
        <w:rPr>
          <w:rFonts w:ascii="Times New Roman" w:eastAsia="Times New Roman" w:hAnsi="Times New Roman" w:cs="Times New Roman"/>
          <w:color w:val="000000"/>
          <w:sz w:val="24"/>
          <w:szCs w:val="24"/>
        </w:rPr>
      </w:pPr>
      <w:r w:rsidRPr="00155B11">
        <w:rPr>
          <w:rFonts w:ascii="Times New Roman" w:eastAsia="Times New Roman" w:hAnsi="Times New Roman" w:cs="Times New Roman"/>
          <w:color w:val="000000"/>
          <w:sz w:val="24"/>
          <w:szCs w:val="24"/>
        </w:rPr>
        <w:t>The ASFA gives a category III recommendation for TPE in Acute Liver Failure.</w:t>
      </w:r>
      <w:hyperlink r:id="rId77" w:anchor="R1" w:history="1">
        <w:r w:rsidRPr="00155B11">
          <w:rPr>
            <w:rFonts w:ascii="Times New Roman" w:eastAsia="Times New Roman" w:hAnsi="Times New Roman" w:cs="Times New Roman"/>
            <w:color w:val="2F4A8B"/>
            <w:sz w:val="20"/>
            <w:szCs w:val="20"/>
            <w:u w:val="single"/>
            <w:vertAlign w:val="superscript"/>
          </w:rPr>
          <w:t>1</w:t>
        </w:r>
      </w:hyperlink>
      <w:r w:rsidRPr="00155B11">
        <w:rPr>
          <w:rFonts w:ascii="Times New Roman" w:eastAsia="Times New Roman" w:hAnsi="Times New Roman" w:cs="Times New Roman"/>
          <w:color w:val="000000"/>
          <w:sz w:val="24"/>
          <w:szCs w:val="24"/>
        </w:rPr>
        <w:t> The recommended TPE replacement fluid is plasma or mixed plasma and albumin.</w:t>
      </w:r>
    </w:p>
    <w:p w:rsidR="00155B11" w:rsidRPr="00155B11" w:rsidRDefault="00155B11" w:rsidP="00155B11">
      <w:pPr>
        <w:pBdr>
          <w:bottom w:val="single" w:sz="6" w:space="0" w:color="97B0C8"/>
        </w:pBdr>
        <w:shd w:val="clear" w:color="auto" w:fill="FFFFFF"/>
        <w:spacing w:before="270" w:after="0" w:line="267" w:lineRule="atLeast"/>
        <w:outlineLvl w:val="1"/>
        <w:rPr>
          <w:rFonts w:ascii="Arial" w:eastAsia="Times New Roman" w:hAnsi="Arial" w:cs="Arial"/>
          <w:b/>
          <w:bCs/>
          <w:color w:val="985735"/>
          <w:sz w:val="27"/>
          <w:szCs w:val="27"/>
        </w:rPr>
      </w:pPr>
      <w:r w:rsidRPr="00155B11">
        <w:rPr>
          <w:rFonts w:ascii="Arial" w:eastAsia="Times New Roman" w:hAnsi="Arial" w:cs="Arial"/>
          <w:b/>
          <w:bCs/>
          <w:color w:val="985735"/>
          <w:sz w:val="27"/>
          <w:szCs w:val="27"/>
        </w:rPr>
        <w:t>Solid Organ Transplantations</w:t>
      </w:r>
    </w:p>
    <w:p w:rsidR="00155B11" w:rsidRPr="00155B11" w:rsidRDefault="00155B11" w:rsidP="00155B11">
      <w:pPr>
        <w:shd w:val="clear" w:color="auto" w:fill="FFFFFF"/>
        <w:spacing w:before="308" w:after="154" w:line="300" w:lineRule="atLeast"/>
        <w:outlineLvl w:val="2"/>
        <w:rPr>
          <w:rFonts w:ascii="Arial" w:eastAsia="Times New Roman" w:hAnsi="Arial" w:cs="Arial"/>
          <w:b/>
          <w:bCs/>
          <w:color w:val="724128"/>
          <w:sz w:val="24"/>
          <w:szCs w:val="24"/>
        </w:rPr>
      </w:pPr>
      <w:r w:rsidRPr="00155B11">
        <w:rPr>
          <w:rFonts w:ascii="Arial" w:eastAsia="Times New Roman" w:hAnsi="Arial" w:cs="Arial"/>
          <w:b/>
          <w:bCs/>
          <w:color w:val="724128"/>
          <w:sz w:val="24"/>
          <w:szCs w:val="24"/>
        </w:rPr>
        <w:t>ABO Incompatible Solid Organ Transplantation</w:t>
      </w:r>
    </w:p>
    <w:p w:rsidR="00155B11" w:rsidRPr="00155B11" w:rsidRDefault="00155B11" w:rsidP="00155B11">
      <w:pPr>
        <w:shd w:val="clear" w:color="auto" w:fill="FFFFFF"/>
        <w:spacing w:before="166" w:after="166" w:line="240" w:lineRule="auto"/>
        <w:rPr>
          <w:rFonts w:ascii="Times New Roman" w:eastAsia="Times New Roman" w:hAnsi="Times New Roman" w:cs="Times New Roman"/>
          <w:color w:val="000000"/>
          <w:sz w:val="24"/>
          <w:szCs w:val="24"/>
        </w:rPr>
      </w:pPr>
      <w:r w:rsidRPr="00155B11">
        <w:rPr>
          <w:rFonts w:ascii="Times New Roman" w:eastAsia="Times New Roman" w:hAnsi="Times New Roman" w:cs="Times New Roman"/>
          <w:color w:val="000000"/>
          <w:sz w:val="24"/>
          <w:szCs w:val="24"/>
        </w:rPr>
        <w:t>Due to shortage of available organs and especially ABO-matched organs, ABO incompatible organs are now frequently used in transplantation. During and after an ABO-incompatible solid organ transplantation, the recipient’s natural anti-bodies to the A and/or B antigen on the donated organ will start to cause destruction of the newly grafted organ.</w:t>
      </w:r>
      <w:hyperlink r:id="rId78" w:anchor="R65" w:history="1">
        <w:r w:rsidRPr="00155B11">
          <w:rPr>
            <w:rFonts w:ascii="Times New Roman" w:eastAsia="Times New Roman" w:hAnsi="Times New Roman" w:cs="Times New Roman"/>
            <w:color w:val="2F4A8B"/>
            <w:sz w:val="20"/>
            <w:szCs w:val="20"/>
            <w:u w:val="single"/>
            <w:vertAlign w:val="superscript"/>
          </w:rPr>
          <w:t>65</w:t>
        </w:r>
      </w:hyperlink>
      <w:r w:rsidRPr="00155B11">
        <w:rPr>
          <w:rFonts w:ascii="Times New Roman" w:eastAsia="Times New Roman" w:hAnsi="Times New Roman" w:cs="Times New Roman"/>
          <w:color w:val="000000"/>
          <w:sz w:val="24"/>
          <w:szCs w:val="24"/>
        </w:rPr>
        <w:t> This might present as a hyperacute or acute humoral rejection. The mainstay of therapy has been immunosuppression. However, with the adjunct of TPE during the pre-and post-transplantation periods, along with immunosuppression and intravenous immunoglobulin (IVIG), survival of ABO-incompatible organs is comparable to those of ABO matched organs.</w:t>
      </w:r>
    </w:p>
    <w:p w:rsidR="00155B11" w:rsidRPr="00155B11" w:rsidRDefault="00155B11" w:rsidP="00155B11">
      <w:pPr>
        <w:shd w:val="clear" w:color="auto" w:fill="FFFFFF"/>
        <w:spacing w:before="166" w:after="166" w:line="240" w:lineRule="auto"/>
        <w:rPr>
          <w:rFonts w:ascii="Times New Roman" w:eastAsia="Times New Roman" w:hAnsi="Times New Roman" w:cs="Times New Roman"/>
          <w:color w:val="000000"/>
          <w:sz w:val="24"/>
          <w:szCs w:val="24"/>
        </w:rPr>
      </w:pPr>
      <w:r w:rsidRPr="00155B11">
        <w:rPr>
          <w:rFonts w:ascii="Times New Roman" w:eastAsia="Times New Roman" w:hAnsi="Times New Roman" w:cs="Times New Roman"/>
          <w:color w:val="000000"/>
          <w:sz w:val="24"/>
          <w:szCs w:val="24"/>
        </w:rPr>
        <w:t>The ASFA gives a category II recommendation for TPE in ABO Incompatible Heart (&lt; 40 months of age) and Kidney, and a Category III recommendation for ABO Incompatible Liver (liver perioperative).</w:t>
      </w:r>
      <w:hyperlink r:id="rId79" w:anchor="R1" w:history="1">
        <w:r w:rsidRPr="00155B11">
          <w:rPr>
            <w:rFonts w:ascii="Times New Roman" w:eastAsia="Times New Roman" w:hAnsi="Times New Roman" w:cs="Times New Roman"/>
            <w:color w:val="2F4A8B"/>
            <w:sz w:val="20"/>
            <w:szCs w:val="20"/>
            <w:u w:val="single"/>
            <w:vertAlign w:val="superscript"/>
          </w:rPr>
          <w:t>1</w:t>
        </w:r>
      </w:hyperlink>
      <w:r w:rsidRPr="00155B11">
        <w:rPr>
          <w:rFonts w:ascii="Times New Roman" w:eastAsia="Times New Roman" w:hAnsi="Times New Roman" w:cs="Times New Roman"/>
          <w:color w:val="000000"/>
          <w:sz w:val="24"/>
          <w:szCs w:val="24"/>
        </w:rPr>
        <w:t> The goal is to decrease the IgG and IgM titers to ≤ 8 in liver and &lt; 4 in kidney and heart transplantations.</w:t>
      </w:r>
      <w:hyperlink r:id="rId80" w:anchor="R66" w:history="1">
        <w:r w:rsidRPr="00155B11">
          <w:rPr>
            <w:rFonts w:ascii="Times New Roman" w:eastAsia="Times New Roman" w:hAnsi="Times New Roman" w:cs="Times New Roman"/>
            <w:color w:val="2F4A8B"/>
            <w:sz w:val="20"/>
            <w:szCs w:val="20"/>
            <w:u w:val="single"/>
            <w:vertAlign w:val="superscript"/>
          </w:rPr>
          <w:t>66</w:t>
        </w:r>
      </w:hyperlink>
      <w:r w:rsidRPr="00155B11">
        <w:rPr>
          <w:rFonts w:ascii="Times New Roman" w:eastAsia="Times New Roman" w:hAnsi="Times New Roman" w:cs="Times New Roman"/>
          <w:color w:val="000000"/>
          <w:sz w:val="20"/>
          <w:szCs w:val="20"/>
          <w:vertAlign w:val="superscript"/>
        </w:rPr>
        <w:t>–</w:t>
      </w:r>
      <w:hyperlink r:id="rId81" w:anchor="R68" w:history="1">
        <w:r w:rsidRPr="00155B11">
          <w:rPr>
            <w:rFonts w:ascii="Times New Roman" w:eastAsia="Times New Roman" w:hAnsi="Times New Roman" w:cs="Times New Roman"/>
            <w:color w:val="2F4A8B"/>
            <w:sz w:val="20"/>
            <w:szCs w:val="20"/>
            <w:u w:val="single"/>
            <w:vertAlign w:val="superscript"/>
          </w:rPr>
          <w:t>68</w:t>
        </w:r>
      </w:hyperlink>
      <w:r w:rsidRPr="00155B11">
        <w:rPr>
          <w:rFonts w:ascii="Times New Roman" w:eastAsia="Times New Roman" w:hAnsi="Times New Roman" w:cs="Times New Roman"/>
          <w:color w:val="000000"/>
          <w:sz w:val="24"/>
          <w:szCs w:val="24"/>
        </w:rPr>
        <w:t> For liver transplants, antibody titer of &lt; 8 should be aimed for 2 weeks post-transplant. For kidney transplants, the goal should be antibody titer is &lt; 8 during the 1st week and &lt; 16 during the 2</w:t>
      </w:r>
      <w:r w:rsidRPr="00155B11">
        <w:rPr>
          <w:rFonts w:ascii="Times New Roman" w:eastAsia="Times New Roman" w:hAnsi="Times New Roman" w:cs="Times New Roman"/>
          <w:color w:val="000000"/>
          <w:sz w:val="20"/>
          <w:szCs w:val="20"/>
          <w:vertAlign w:val="superscript"/>
        </w:rPr>
        <w:t>nd</w:t>
      </w:r>
      <w:r w:rsidRPr="00155B11">
        <w:rPr>
          <w:rFonts w:ascii="Times New Roman" w:eastAsia="Times New Roman" w:hAnsi="Times New Roman" w:cs="Times New Roman"/>
          <w:color w:val="000000"/>
          <w:sz w:val="24"/>
          <w:szCs w:val="24"/>
        </w:rPr>
        <w:t> week.</w:t>
      </w:r>
      <w:hyperlink r:id="rId82" w:anchor="R69" w:history="1">
        <w:r w:rsidRPr="00155B11">
          <w:rPr>
            <w:rFonts w:ascii="Times New Roman" w:eastAsia="Times New Roman" w:hAnsi="Times New Roman" w:cs="Times New Roman"/>
            <w:color w:val="2F4A8B"/>
            <w:sz w:val="20"/>
            <w:szCs w:val="20"/>
            <w:u w:val="single"/>
            <w:vertAlign w:val="superscript"/>
          </w:rPr>
          <w:t>69</w:t>
        </w:r>
      </w:hyperlink>
      <w:r w:rsidRPr="00155B11">
        <w:rPr>
          <w:rFonts w:ascii="Times New Roman" w:eastAsia="Times New Roman" w:hAnsi="Times New Roman" w:cs="Times New Roman"/>
          <w:color w:val="000000"/>
          <w:sz w:val="20"/>
          <w:szCs w:val="20"/>
          <w:vertAlign w:val="superscript"/>
        </w:rPr>
        <w:t>,</w:t>
      </w:r>
      <w:hyperlink r:id="rId83" w:anchor="R70" w:history="1">
        <w:r w:rsidRPr="00155B11">
          <w:rPr>
            <w:rFonts w:ascii="Times New Roman" w:eastAsia="Times New Roman" w:hAnsi="Times New Roman" w:cs="Times New Roman"/>
            <w:color w:val="2F4A8B"/>
            <w:sz w:val="20"/>
            <w:szCs w:val="20"/>
            <w:u w:val="single"/>
            <w:vertAlign w:val="superscript"/>
          </w:rPr>
          <w:t>70</w:t>
        </w:r>
      </w:hyperlink>
      <w:r w:rsidRPr="00155B11">
        <w:rPr>
          <w:rFonts w:ascii="Times New Roman" w:eastAsia="Times New Roman" w:hAnsi="Times New Roman" w:cs="Times New Roman"/>
          <w:color w:val="000000"/>
          <w:sz w:val="24"/>
          <w:szCs w:val="24"/>
        </w:rPr>
        <w:t> The recommended TPE replacement fluid is either albumin or plasma. For liver transplantation, plasma should be considered if there is significant coagulopathy.</w:t>
      </w:r>
    </w:p>
    <w:p w:rsidR="00155B11" w:rsidRDefault="00155B11"/>
    <w:p w:rsidR="00155B11" w:rsidRDefault="00155B11"/>
    <w:p w:rsidR="00155B11" w:rsidRPr="00155B11" w:rsidRDefault="00155B11" w:rsidP="00155B11">
      <w:pPr>
        <w:pBdr>
          <w:bottom w:val="single" w:sz="6" w:space="0" w:color="97B0C8"/>
        </w:pBdr>
        <w:shd w:val="clear" w:color="auto" w:fill="FFFFFF"/>
        <w:spacing w:before="270" w:after="0" w:line="267" w:lineRule="atLeast"/>
        <w:outlineLvl w:val="1"/>
        <w:rPr>
          <w:rFonts w:ascii="Arial" w:eastAsia="Times New Roman" w:hAnsi="Arial" w:cs="Arial"/>
          <w:b/>
          <w:bCs/>
          <w:color w:val="985735"/>
          <w:sz w:val="27"/>
          <w:szCs w:val="27"/>
        </w:rPr>
      </w:pPr>
      <w:r w:rsidRPr="00155B11">
        <w:rPr>
          <w:rFonts w:ascii="Arial" w:eastAsia="Times New Roman" w:hAnsi="Arial" w:cs="Arial"/>
          <w:b/>
          <w:bCs/>
          <w:color w:val="985735"/>
          <w:sz w:val="27"/>
          <w:szCs w:val="27"/>
        </w:rPr>
        <w:t>Neurological Disorders</w:t>
      </w:r>
    </w:p>
    <w:p w:rsidR="00155B11" w:rsidRPr="00155B11" w:rsidRDefault="00155B11" w:rsidP="00155B11">
      <w:pPr>
        <w:shd w:val="clear" w:color="auto" w:fill="FFFFFF"/>
        <w:spacing w:before="166" w:after="166" w:line="240" w:lineRule="auto"/>
        <w:rPr>
          <w:rFonts w:ascii="Times New Roman" w:eastAsia="Times New Roman" w:hAnsi="Times New Roman" w:cs="Times New Roman"/>
          <w:color w:val="000000"/>
          <w:sz w:val="24"/>
          <w:szCs w:val="24"/>
        </w:rPr>
      </w:pPr>
      <w:r w:rsidRPr="00155B11">
        <w:rPr>
          <w:rFonts w:ascii="Times New Roman" w:eastAsia="Times New Roman" w:hAnsi="Times New Roman" w:cs="Times New Roman"/>
          <w:color w:val="000000"/>
          <w:sz w:val="24"/>
          <w:szCs w:val="24"/>
        </w:rPr>
        <w:t>The ASFA gives strong recommendations (categories I and II’s) for TPE in critically ill patients with a variety of primary neurological disorders.</w:t>
      </w:r>
      <w:hyperlink r:id="rId84" w:anchor="R1" w:history="1">
        <w:r w:rsidRPr="00155B11">
          <w:rPr>
            <w:rFonts w:ascii="Times New Roman" w:eastAsia="Times New Roman" w:hAnsi="Times New Roman" w:cs="Times New Roman"/>
            <w:color w:val="2F4A8B"/>
            <w:sz w:val="20"/>
            <w:szCs w:val="20"/>
            <w:u w:val="single"/>
            <w:vertAlign w:val="superscript"/>
          </w:rPr>
          <w:t>1</w:t>
        </w:r>
      </w:hyperlink>
      <w:r w:rsidRPr="00155B11">
        <w:rPr>
          <w:rFonts w:ascii="Times New Roman" w:eastAsia="Times New Roman" w:hAnsi="Times New Roman" w:cs="Times New Roman"/>
          <w:color w:val="000000"/>
          <w:sz w:val="24"/>
          <w:szCs w:val="24"/>
        </w:rPr>
        <w:t xml:space="preserve"> The proposed mechanism of these disorders seems to stem from molecules (i.e. auto-antibodies) that have developed in the patient’s plasma that cause injuries to the central and/or peripheral nervous systems. These patients often present with focal neurologic deficits and may progress to generalized devastating neurologic injuries. For example, these patients may present with gross or fine motor weakness progressing to paralysis, hyporeflexia progressing to areflexia, paresthesia, pain, cranial nerve deficit, seizures, strokes, autonomic dysfunction, and neuropsychiatric symptoms. TPE is often utilized by the </w:t>
      </w:r>
      <w:r w:rsidRPr="00155B11">
        <w:rPr>
          <w:rFonts w:ascii="Times New Roman" w:eastAsia="Times New Roman" w:hAnsi="Times New Roman" w:cs="Times New Roman"/>
          <w:color w:val="000000"/>
          <w:sz w:val="24"/>
          <w:szCs w:val="24"/>
        </w:rPr>
        <w:lastRenderedPageBreak/>
        <w:t>clinicians when a short trial of steroids, cytotoxic agents and/or IVIG has been unsuccessful in halting the progression of signs and symptoms.</w:t>
      </w:r>
      <w:hyperlink r:id="rId85" w:anchor="R71" w:history="1">
        <w:r w:rsidRPr="00155B11">
          <w:rPr>
            <w:rFonts w:ascii="Times New Roman" w:eastAsia="Times New Roman" w:hAnsi="Times New Roman" w:cs="Times New Roman"/>
            <w:color w:val="2F4A8B"/>
            <w:sz w:val="20"/>
            <w:szCs w:val="20"/>
            <w:u w:val="single"/>
            <w:vertAlign w:val="superscript"/>
          </w:rPr>
          <w:t>71</w:t>
        </w:r>
      </w:hyperlink>
      <w:r w:rsidRPr="00155B11">
        <w:rPr>
          <w:rFonts w:ascii="Times New Roman" w:eastAsia="Times New Roman" w:hAnsi="Times New Roman" w:cs="Times New Roman"/>
          <w:color w:val="000000"/>
          <w:sz w:val="20"/>
          <w:szCs w:val="20"/>
          <w:vertAlign w:val="superscript"/>
        </w:rPr>
        <w:t>–</w:t>
      </w:r>
      <w:hyperlink r:id="rId86" w:anchor="R75" w:history="1">
        <w:r w:rsidRPr="00155B11">
          <w:rPr>
            <w:rFonts w:ascii="Times New Roman" w:eastAsia="Times New Roman" w:hAnsi="Times New Roman" w:cs="Times New Roman"/>
            <w:color w:val="2F4A8B"/>
            <w:sz w:val="20"/>
            <w:szCs w:val="20"/>
            <w:u w:val="single"/>
            <w:vertAlign w:val="superscript"/>
          </w:rPr>
          <w:t>75</w:t>
        </w:r>
      </w:hyperlink>
    </w:p>
    <w:p w:rsidR="00155B11" w:rsidRPr="00155B11" w:rsidRDefault="00155B11" w:rsidP="00155B11">
      <w:pPr>
        <w:shd w:val="clear" w:color="auto" w:fill="FFFFFF"/>
        <w:spacing w:before="166" w:after="166" w:line="240" w:lineRule="auto"/>
        <w:rPr>
          <w:rFonts w:ascii="Times New Roman" w:eastAsia="Times New Roman" w:hAnsi="Times New Roman" w:cs="Times New Roman"/>
          <w:color w:val="000000"/>
          <w:sz w:val="24"/>
          <w:szCs w:val="24"/>
        </w:rPr>
      </w:pPr>
      <w:r w:rsidRPr="00155B11">
        <w:rPr>
          <w:rFonts w:ascii="Times New Roman" w:eastAsia="Times New Roman" w:hAnsi="Times New Roman" w:cs="Times New Roman"/>
          <w:color w:val="000000"/>
          <w:sz w:val="24"/>
          <w:szCs w:val="24"/>
        </w:rPr>
        <w:t>The ASFA gives a category I recommendation for TPE in Acute Inflammatory Demyelinating Polyneuropathy (Guillain-Barre Syndrome), Chronic Inflammatory Demyelinating Polyradiculoneuropathy (CIDP), Pediatric Autoimmune Neuropsychiatric Disorders Associated with Streptococcal Infections and Sydenham’s Chorea (PANDAS), Multiple Sclerosis, and Myasthenia Gravis. The ASFA gives a category II recommendation for TPE in Acute Disseminated Encephalomyelitis, Neuromyelitis Optica, Chronic Focal Encephalitis (Rasmussen’s Encephalitis), and Lambert-Eaton Myasthenic syndrome.</w:t>
      </w:r>
      <w:hyperlink r:id="rId87" w:anchor="R1" w:history="1">
        <w:r w:rsidRPr="00155B11">
          <w:rPr>
            <w:rFonts w:ascii="Times New Roman" w:eastAsia="Times New Roman" w:hAnsi="Times New Roman" w:cs="Times New Roman"/>
            <w:color w:val="2F4A8B"/>
            <w:sz w:val="20"/>
            <w:szCs w:val="20"/>
            <w:u w:val="single"/>
            <w:vertAlign w:val="superscript"/>
          </w:rPr>
          <w:t>1</w:t>
        </w:r>
      </w:hyperlink>
    </w:p>
    <w:p w:rsidR="00155B11" w:rsidRPr="00155B11" w:rsidRDefault="00155B11" w:rsidP="00155B11">
      <w:pPr>
        <w:shd w:val="clear" w:color="auto" w:fill="FFFFFF"/>
        <w:spacing w:before="166" w:after="166" w:line="240" w:lineRule="auto"/>
        <w:rPr>
          <w:rFonts w:ascii="Times New Roman" w:eastAsia="Times New Roman" w:hAnsi="Times New Roman" w:cs="Times New Roman"/>
          <w:color w:val="000000"/>
          <w:sz w:val="24"/>
          <w:szCs w:val="24"/>
        </w:rPr>
      </w:pPr>
      <w:r w:rsidRPr="00155B11">
        <w:rPr>
          <w:rFonts w:ascii="Times New Roman" w:eastAsia="Times New Roman" w:hAnsi="Times New Roman" w:cs="Times New Roman"/>
          <w:color w:val="000000"/>
          <w:sz w:val="24"/>
          <w:szCs w:val="24"/>
        </w:rPr>
        <w:t>TPE is thought to remove auto-antibodies to various components of the neurologic system:</w:t>
      </w:r>
    </w:p>
    <w:p w:rsidR="00155B11" w:rsidRPr="00155B11" w:rsidRDefault="00155B11" w:rsidP="00155B11">
      <w:pPr>
        <w:numPr>
          <w:ilvl w:val="0"/>
          <w:numId w:val="2"/>
        </w:numPr>
        <w:shd w:val="clear" w:color="auto" w:fill="FFFFFF"/>
        <w:spacing w:before="166" w:after="166" w:line="240" w:lineRule="auto"/>
        <w:rPr>
          <w:rFonts w:ascii="Times New Roman" w:eastAsia="Times New Roman" w:hAnsi="Times New Roman" w:cs="Times New Roman"/>
          <w:color w:val="000000"/>
          <w:sz w:val="24"/>
          <w:szCs w:val="24"/>
        </w:rPr>
      </w:pPr>
      <w:r w:rsidRPr="00155B11">
        <w:rPr>
          <w:rFonts w:ascii="Times New Roman" w:eastAsia="Times New Roman" w:hAnsi="Times New Roman" w:cs="Times New Roman"/>
          <w:color w:val="000000"/>
          <w:sz w:val="24"/>
          <w:szCs w:val="24"/>
        </w:rPr>
        <w:t>myelin in Guillain-Barre, CIDP, Multiple Sclerosis, and Acute Disseminated Encephalomyelitis;</w:t>
      </w:r>
    </w:p>
    <w:p w:rsidR="00155B11" w:rsidRPr="00155B11" w:rsidRDefault="00155B11" w:rsidP="00155B11">
      <w:pPr>
        <w:numPr>
          <w:ilvl w:val="0"/>
          <w:numId w:val="2"/>
        </w:numPr>
        <w:shd w:val="clear" w:color="auto" w:fill="FFFFFF"/>
        <w:spacing w:before="166" w:after="166" w:line="240" w:lineRule="auto"/>
        <w:rPr>
          <w:rFonts w:ascii="Times New Roman" w:eastAsia="Times New Roman" w:hAnsi="Times New Roman" w:cs="Times New Roman"/>
          <w:color w:val="000000"/>
          <w:sz w:val="24"/>
          <w:szCs w:val="24"/>
        </w:rPr>
      </w:pPr>
      <w:r w:rsidRPr="00155B11">
        <w:rPr>
          <w:rFonts w:ascii="Times New Roman" w:eastAsia="Times New Roman" w:hAnsi="Times New Roman" w:cs="Times New Roman"/>
          <w:color w:val="000000"/>
          <w:sz w:val="24"/>
          <w:szCs w:val="24"/>
        </w:rPr>
        <w:t>neurons in the basal ganglia in PANDAS;</w:t>
      </w:r>
    </w:p>
    <w:p w:rsidR="00155B11" w:rsidRPr="00155B11" w:rsidRDefault="00155B11" w:rsidP="00155B11">
      <w:pPr>
        <w:numPr>
          <w:ilvl w:val="0"/>
          <w:numId w:val="2"/>
        </w:numPr>
        <w:shd w:val="clear" w:color="auto" w:fill="FFFFFF"/>
        <w:spacing w:before="166" w:after="166" w:line="240" w:lineRule="auto"/>
        <w:rPr>
          <w:rFonts w:ascii="Times New Roman" w:eastAsia="Times New Roman" w:hAnsi="Times New Roman" w:cs="Times New Roman"/>
          <w:color w:val="000000"/>
          <w:sz w:val="24"/>
          <w:szCs w:val="24"/>
        </w:rPr>
      </w:pPr>
      <w:r w:rsidRPr="00155B11">
        <w:rPr>
          <w:rFonts w:ascii="Times New Roman" w:eastAsia="Times New Roman" w:hAnsi="Times New Roman" w:cs="Times New Roman"/>
          <w:color w:val="000000"/>
          <w:sz w:val="24"/>
          <w:szCs w:val="24"/>
        </w:rPr>
        <w:t>acetylcholine receptor on the post-synaptic surface of the motor end plate in Myasthenia Gravis;</w:t>
      </w:r>
    </w:p>
    <w:p w:rsidR="00155B11" w:rsidRPr="00155B11" w:rsidRDefault="00155B11" w:rsidP="00155B11">
      <w:pPr>
        <w:numPr>
          <w:ilvl w:val="0"/>
          <w:numId w:val="2"/>
        </w:numPr>
        <w:shd w:val="clear" w:color="auto" w:fill="FFFFFF"/>
        <w:spacing w:before="166" w:after="166" w:line="240" w:lineRule="auto"/>
        <w:rPr>
          <w:rFonts w:ascii="Times New Roman" w:eastAsia="Times New Roman" w:hAnsi="Times New Roman" w:cs="Times New Roman"/>
          <w:color w:val="000000"/>
          <w:sz w:val="24"/>
          <w:szCs w:val="24"/>
        </w:rPr>
      </w:pPr>
      <w:r w:rsidRPr="00155B11">
        <w:rPr>
          <w:rFonts w:ascii="Times New Roman" w:eastAsia="Times New Roman" w:hAnsi="Times New Roman" w:cs="Times New Roman"/>
          <w:color w:val="000000"/>
          <w:sz w:val="24"/>
          <w:szCs w:val="24"/>
        </w:rPr>
        <w:t>aquaporin-4, a water channel on astrocyte foot process at the blood brain barrier in Neuromyelitis Optica;</w:t>
      </w:r>
    </w:p>
    <w:p w:rsidR="00155B11" w:rsidRPr="00155B11" w:rsidRDefault="00155B11" w:rsidP="00155B11">
      <w:pPr>
        <w:numPr>
          <w:ilvl w:val="0"/>
          <w:numId w:val="2"/>
        </w:numPr>
        <w:shd w:val="clear" w:color="auto" w:fill="FFFFFF"/>
        <w:spacing w:before="166" w:after="166" w:line="240" w:lineRule="auto"/>
        <w:rPr>
          <w:rFonts w:ascii="Times New Roman" w:eastAsia="Times New Roman" w:hAnsi="Times New Roman" w:cs="Times New Roman"/>
          <w:color w:val="000000"/>
          <w:sz w:val="24"/>
          <w:szCs w:val="24"/>
        </w:rPr>
      </w:pPr>
      <w:r w:rsidRPr="00155B11">
        <w:rPr>
          <w:rFonts w:ascii="Times New Roman" w:eastAsia="Times New Roman" w:hAnsi="Times New Roman" w:cs="Times New Roman"/>
          <w:color w:val="000000"/>
          <w:sz w:val="24"/>
          <w:szCs w:val="24"/>
        </w:rPr>
        <w:t>glutamate receptor GluR3 in Rasmussen’s Encephalitis;</w:t>
      </w:r>
    </w:p>
    <w:p w:rsidR="00155B11" w:rsidRPr="00155B11" w:rsidRDefault="00155B11" w:rsidP="00155B11">
      <w:pPr>
        <w:numPr>
          <w:ilvl w:val="0"/>
          <w:numId w:val="2"/>
        </w:numPr>
        <w:shd w:val="clear" w:color="auto" w:fill="FFFFFF"/>
        <w:spacing w:before="166" w:after="166" w:line="240" w:lineRule="auto"/>
        <w:rPr>
          <w:rFonts w:ascii="Times New Roman" w:eastAsia="Times New Roman" w:hAnsi="Times New Roman" w:cs="Times New Roman"/>
          <w:color w:val="000000"/>
          <w:sz w:val="24"/>
          <w:szCs w:val="24"/>
        </w:rPr>
      </w:pPr>
      <w:r w:rsidRPr="00155B11">
        <w:rPr>
          <w:rFonts w:ascii="Times New Roman" w:eastAsia="Times New Roman" w:hAnsi="Times New Roman" w:cs="Times New Roman"/>
          <w:color w:val="000000"/>
          <w:sz w:val="24"/>
          <w:szCs w:val="24"/>
        </w:rPr>
        <w:t>voltage gated calcium channel of the pre-synaptic neuron in Lambert-Eaton Myasthenic syndrome.</w:t>
      </w:r>
      <w:hyperlink r:id="rId88" w:anchor="R71" w:history="1">
        <w:r w:rsidRPr="00155B11">
          <w:rPr>
            <w:rFonts w:ascii="Times New Roman" w:eastAsia="Times New Roman" w:hAnsi="Times New Roman" w:cs="Times New Roman"/>
            <w:color w:val="2F4A8B"/>
            <w:sz w:val="20"/>
            <w:szCs w:val="20"/>
            <w:u w:val="single"/>
            <w:vertAlign w:val="superscript"/>
          </w:rPr>
          <w:t>71</w:t>
        </w:r>
      </w:hyperlink>
      <w:r w:rsidRPr="00155B11">
        <w:rPr>
          <w:rFonts w:ascii="Times New Roman" w:eastAsia="Times New Roman" w:hAnsi="Times New Roman" w:cs="Times New Roman"/>
          <w:color w:val="000000"/>
          <w:sz w:val="20"/>
          <w:szCs w:val="20"/>
          <w:vertAlign w:val="superscript"/>
        </w:rPr>
        <w:t>,</w:t>
      </w:r>
      <w:hyperlink r:id="rId89" w:anchor="R74" w:history="1">
        <w:r w:rsidRPr="00155B11">
          <w:rPr>
            <w:rFonts w:ascii="Times New Roman" w:eastAsia="Times New Roman" w:hAnsi="Times New Roman" w:cs="Times New Roman"/>
            <w:color w:val="2F4A8B"/>
            <w:sz w:val="20"/>
            <w:szCs w:val="20"/>
            <w:u w:val="single"/>
            <w:vertAlign w:val="superscript"/>
          </w:rPr>
          <w:t>74</w:t>
        </w:r>
      </w:hyperlink>
      <w:r w:rsidRPr="00155B11">
        <w:rPr>
          <w:rFonts w:ascii="Times New Roman" w:eastAsia="Times New Roman" w:hAnsi="Times New Roman" w:cs="Times New Roman"/>
          <w:color w:val="000000"/>
          <w:sz w:val="20"/>
          <w:szCs w:val="20"/>
          <w:vertAlign w:val="superscript"/>
        </w:rPr>
        <w:t>,</w:t>
      </w:r>
      <w:hyperlink r:id="rId90" w:anchor="R76" w:history="1">
        <w:r w:rsidRPr="00155B11">
          <w:rPr>
            <w:rFonts w:ascii="Times New Roman" w:eastAsia="Times New Roman" w:hAnsi="Times New Roman" w:cs="Times New Roman"/>
            <w:color w:val="2F4A8B"/>
            <w:sz w:val="20"/>
            <w:szCs w:val="20"/>
            <w:u w:val="single"/>
            <w:vertAlign w:val="superscript"/>
          </w:rPr>
          <w:t>76</w:t>
        </w:r>
      </w:hyperlink>
      <w:r w:rsidRPr="00155B11">
        <w:rPr>
          <w:rFonts w:ascii="Times New Roman" w:eastAsia="Times New Roman" w:hAnsi="Times New Roman" w:cs="Times New Roman"/>
          <w:color w:val="000000"/>
          <w:sz w:val="20"/>
          <w:szCs w:val="20"/>
          <w:vertAlign w:val="superscript"/>
        </w:rPr>
        <w:t>,</w:t>
      </w:r>
      <w:hyperlink r:id="rId91" w:anchor="R77" w:history="1">
        <w:r w:rsidRPr="00155B11">
          <w:rPr>
            <w:rFonts w:ascii="Times New Roman" w:eastAsia="Times New Roman" w:hAnsi="Times New Roman" w:cs="Times New Roman"/>
            <w:color w:val="2F4A8B"/>
            <w:sz w:val="20"/>
            <w:szCs w:val="20"/>
            <w:u w:val="single"/>
            <w:vertAlign w:val="superscript"/>
          </w:rPr>
          <w:t>77</w:t>
        </w:r>
      </w:hyperlink>
    </w:p>
    <w:p w:rsidR="00155B11" w:rsidRPr="00155B11" w:rsidRDefault="00155B11" w:rsidP="00155B11">
      <w:pPr>
        <w:shd w:val="clear" w:color="auto" w:fill="FFFFFF"/>
        <w:spacing w:before="166" w:after="166" w:line="240" w:lineRule="auto"/>
        <w:rPr>
          <w:rFonts w:ascii="Times New Roman" w:eastAsia="Times New Roman" w:hAnsi="Times New Roman" w:cs="Times New Roman"/>
          <w:color w:val="000000"/>
          <w:sz w:val="24"/>
          <w:szCs w:val="24"/>
        </w:rPr>
      </w:pPr>
      <w:r w:rsidRPr="00155B11">
        <w:rPr>
          <w:rFonts w:ascii="Times New Roman" w:eastAsia="Times New Roman" w:hAnsi="Times New Roman" w:cs="Times New Roman"/>
          <w:color w:val="000000"/>
          <w:sz w:val="24"/>
          <w:szCs w:val="24"/>
        </w:rPr>
        <w:t>Because the underlying problem is the presence of pathologic auto-antibodies and not the deficiency of plasma molecules, the recommended TPE replacement fluid is albumin.</w:t>
      </w:r>
    </w:p>
    <w:p w:rsidR="00155B11" w:rsidRDefault="00155B11"/>
    <w:p w:rsidR="00155B11" w:rsidRDefault="00155B11"/>
    <w:p w:rsidR="00155B11" w:rsidRPr="00155B11" w:rsidRDefault="00155B11" w:rsidP="00155B11">
      <w:pPr>
        <w:pBdr>
          <w:bottom w:val="single" w:sz="6" w:space="0" w:color="97B0C8"/>
        </w:pBdr>
        <w:shd w:val="clear" w:color="auto" w:fill="FFFFFF"/>
        <w:spacing w:before="270" w:after="0" w:line="267" w:lineRule="atLeast"/>
        <w:outlineLvl w:val="1"/>
        <w:rPr>
          <w:rFonts w:ascii="Arial" w:eastAsia="Times New Roman" w:hAnsi="Arial" w:cs="Arial"/>
          <w:b/>
          <w:bCs/>
          <w:color w:val="985735"/>
          <w:sz w:val="27"/>
          <w:szCs w:val="27"/>
        </w:rPr>
      </w:pPr>
      <w:r w:rsidRPr="00155B11">
        <w:rPr>
          <w:rFonts w:ascii="Arial" w:eastAsia="Times New Roman" w:hAnsi="Arial" w:cs="Arial"/>
          <w:b/>
          <w:bCs/>
          <w:color w:val="985735"/>
          <w:sz w:val="27"/>
          <w:szCs w:val="27"/>
        </w:rPr>
        <w:t>Renal</w:t>
      </w:r>
    </w:p>
    <w:p w:rsidR="00155B11" w:rsidRPr="00155B11" w:rsidRDefault="00155B11" w:rsidP="00155B11">
      <w:pPr>
        <w:shd w:val="clear" w:color="auto" w:fill="FFFFFF"/>
        <w:spacing w:before="308" w:after="154" w:line="300" w:lineRule="atLeast"/>
        <w:outlineLvl w:val="2"/>
        <w:rPr>
          <w:rFonts w:ascii="Arial" w:eastAsia="Times New Roman" w:hAnsi="Arial" w:cs="Arial"/>
          <w:b/>
          <w:bCs/>
          <w:color w:val="724128"/>
          <w:sz w:val="24"/>
          <w:szCs w:val="24"/>
        </w:rPr>
      </w:pPr>
      <w:r w:rsidRPr="00155B11">
        <w:rPr>
          <w:rFonts w:ascii="Arial" w:eastAsia="Times New Roman" w:hAnsi="Arial" w:cs="Arial"/>
          <w:b/>
          <w:bCs/>
          <w:color w:val="724128"/>
          <w:sz w:val="24"/>
          <w:szCs w:val="24"/>
        </w:rPr>
        <w:t>Rapidly Progressive Glomerulonephritis (RPGN)</w:t>
      </w:r>
    </w:p>
    <w:p w:rsidR="00155B11" w:rsidRPr="00155B11" w:rsidRDefault="00155B11" w:rsidP="00155B11">
      <w:pPr>
        <w:shd w:val="clear" w:color="auto" w:fill="FFFFFF"/>
        <w:spacing w:before="166" w:after="166" w:line="240" w:lineRule="auto"/>
        <w:rPr>
          <w:rFonts w:ascii="Times New Roman" w:eastAsia="Times New Roman" w:hAnsi="Times New Roman" w:cs="Times New Roman"/>
          <w:color w:val="000000"/>
          <w:sz w:val="24"/>
          <w:szCs w:val="24"/>
        </w:rPr>
      </w:pPr>
      <w:r w:rsidRPr="00155B11">
        <w:rPr>
          <w:rFonts w:ascii="Times New Roman" w:eastAsia="Times New Roman" w:hAnsi="Times New Roman" w:cs="Times New Roman"/>
          <w:color w:val="000000"/>
          <w:sz w:val="24"/>
          <w:szCs w:val="24"/>
        </w:rPr>
        <w:t>RPGN encompasses three distinct histopathologic processes of glomerular crescent formation in at least 50% of glomeruli seen in renal biopsies. Clinically, these patients might present with a rapid course of renal failure. Therapy involves a combination of steroids and anti-cytotoxic agents. TPE is considered when these patients present critically ill and in particular, with pulmonary hemorrhage. The recommendation for TPE is also dependent on the histopathologic process.</w:t>
      </w:r>
    </w:p>
    <w:p w:rsidR="00155B11" w:rsidRPr="00155B11" w:rsidRDefault="00155B11" w:rsidP="00155B11">
      <w:pPr>
        <w:shd w:val="clear" w:color="auto" w:fill="FFFFFF"/>
        <w:spacing w:before="308" w:after="154" w:line="300" w:lineRule="atLeast"/>
        <w:outlineLvl w:val="2"/>
        <w:rPr>
          <w:rFonts w:ascii="Arial" w:eastAsia="Times New Roman" w:hAnsi="Arial" w:cs="Arial"/>
          <w:b/>
          <w:bCs/>
          <w:color w:val="724128"/>
          <w:sz w:val="24"/>
          <w:szCs w:val="24"/>
        </w:rPr>
      </w:pPr>
      <w:r w:rsidRPr="00155B11">
        <w:rPr>
          <w:rFonts w:ascii="Arial" w:eastAsia="Times New Roman" w:hAnsi="Arial" w:cs="Arial"/>
          <w:b/>
          <w:bCs/>
          <w:color w:val="724128"/>
          <w:sz w:val="24"/>
          <w:szCs w:val="24"/>
        </w:rPr>
        <w:t>Type I RPGN: Anti-Glomerular Basement Membrane Disease (Goodpasture’s Syndrome)</w:t>
      </w:r>
    </w:p>
    <w:p w:rsidR="00155B11" w:rsidRPr="00155B11" w:rsidRDefault="00155B11" w:rsidP="00155B11">
      <w:pPr>
        <w:shd w:val="clear" w:color="auto" w:fill="FFFFFF"/>
        <w:spacing w:before="166" w:after="166" w:line="240" w:lineRule="auto"/>
        <w:rPr>
          <w:rFonts w:ascii="Times New Roman" w:eastAsia="Times New Roman" w:hAnsi="Times New Roman" w:cs="Times New Roman"/>
          <w:color w:val="000000"/>
          <w:sz w:val="24"/>
          <w:szCs w:val="24"/>
        </w:rPr>
      </w:pPr>
      <w:r w:rsidRPr="00155B11">
        <w:rPr>
          <w:rFonts w:ascii="Times New Roman" w:eastAsia="Times New Roman" w:hAnsi="Times New Roman" w:cs="Times New Roman"/>
          <w:color w:val="000000"/>
          <w:sz w:val="24"/>
          <w:szCs w:val="24"/>
        </w:rPr>
        <w:lastRenderedPageBreak/>
        <w:t>Histopathology of this entity reveals linear deposits of IgG to the non-collagenous domain (NC1) of the alpha-3 chain of collagen type IV in the glomerular basement membrane. The ASFA gives a category I recommendation for TPE in Anti-Glomerular Basement Membrane disease with diffuse alveolar hemorrhage and/or with dialysis independence.</w:t>
      </w:r>
      <w:hyperlink r:id="rId92" w:anchor="R1" w:history="1">
        <w:r w:rsidRPr="00155B11">
          <w:rPr>
            <w:rFonts w:ascii="Times New Roman" w:eastAsia="Times New Roman" w:hAnsi="Times New Roman" w:cs="Times New Roman"/>
            <w:color w:val="2F4A8B"/>
            <w:sz w:val="20"/>
            <w:szCs w:val="20"/>
            <w:u w:val="single"/>
            <w:vertAlign w:val="superscript"/>
          </w:rPr>
          <w:t>1</w:t>
        </w:r>
      </w:hyperlink>
      <w:r w:rsidRPr="00155B11">
        <w:rPr>
          <w:rFonts w:ascii="Times New Roman" w:eastAsia="Times New Roman" w:hAnsi="Times New Roman" w:cs="Times New Roman"/>
          <w:color w:val="000000"/>
          <w:sz w:val="24"/>
          <w:szCs w:val="24"/>
        </w:rPr>
        <w:t> The ASFA does not recommend (category IV) TPE for this entity with dialysis dependence and without diffuse alveolar hemorrhage.</w:t>
      </w:r>
      <w:hyperlink r:id="rId93" w:anchor="R1" w:history="1">
        <w:r w:rsidRPr="00155B11">
          <w:rPr>
            <w:rFonts w:ascii="Times New Roman" w:eastAsia="Times New Roman" w:hAnsi="Times New Roman" w:cs="Times New Roman"/>
            <w:color w:val="2F4A8B"/>
            <w:sz w:val="20"/>
            <w:szCs w:val="20"/>
            <w:u w:val="single"/>
            <w:vertAlign w:val="superscript"/>
          </w:rPr>
          <w:t>1</w:t>
        </w:r>
      </w:hyperlink>
      <w:r w:rsidRPr="00155B11">
        <w:rPr>
          <w:rFonts w:ascii="Times New Roman" w:eastAsia="Times New Roman" w:hAnsi="Times New Roman" w:cs="Times New Roman"/>
          <w:color w:val="000000"/>
          <w:sz w:val="24"/>
          <w:szCs w:val="24"/>
        </w:rPr>
        <w:t> Case series have shown that TPE in those with creatinine &lt; 6.6 mg/dL had recovery of kidney function, whereas those with creatinine &gt; 6.6 mg/dL did not. The recommended TPE replacement fluid is albumin, but if pulmonary hemorrhage is present, then plasma is recommended. </w:t>
      </w:r>
      <w:hyperlink r:id="rId94" w:anchor="R78" w:history="1">
        <w:r w:rsidRPr="00155B11">
          <w:rPr>
            <w:rFonts w:ascii="Times New Roman" w:eastAsia="Times New Roman" w:hAnsi="Times New Roman" w:cs="Times New Roman"/>
            <w:color w:val="2F4A8B"/>
            <w:sz w:val="20"/>
            <w:szCs w:val="20"/>
            <w:u w:val="single"/>
            <w:vertAlign w:val="superscript"/>
          </w:rPr>
          <w:t>78</w:t>
        </w:r>
      </w:hyperlink>
      <w:r w:rsidRPr="00155B11">
        <w:rPr>
          <w:rFonts w:ascii="Times New Roman" w:eastAsia="Times New Roman" w:hAnsi="Times New Roman" w:cs="Times New Roman"/>
          <w:color w:val="000000"/>
          <w:sz w:val="20"/>
          <w:szCs w:val="20"/>
          <w:vertAlign w:val="superscript"/>
        </w:rPr>
        <w:t>–</w:t>
      </w:r>
      <w:hyperlink r:id="rId95" w:anchor="R81" w:history="1">
        <w:r w:rsidRPr="00155B11">
          <w:rPr>
            <w:rFonts w:ascii="Times New Roman" w:eastAsia="Times New Roman" w:hAnsi="Times New Roman" w:cs="Times New Roman"/>
            <w:color w:val="2F4A8B"/>
            <w:sz w:val="20"/>
            <w:szCs w:val="20"/>
            <w:u w:val="single"/>
            <w:vertAlign w:val="superscript"/>
          </w:rPr>
          <w:t>81</w:t>
        </w:r>
      </w:hyperlink>
    </w:p>
    <w:p w:rsidR="00155B11" w:rsidRPr="00155B11" w:rsidRDefault="00155B11" w:rsidP="00155B11">
      <w:pPr>
        <w:shd w:val="clear" w:color="auto" w:fill="FFFFFF"/>
        <w:spacing w:before="308" w:after="154" w:line="300" w:lineRule="atLeast"/>
        <w:outlineLvl w:val="2"/>
        <w:rPr>
          <w:rFonts w:ascii="Arial" w:eastAsia="Times New Roman" w:hAnsi="Arial" w:cs="Arial"/>
          <w:b/>
          <w:bCs/>
          <w:color w:val="724128"/>
          <w:sz w:val="24"/>
          <w:szCs w:val="24"/>
        </w:rPr>
      </w:pPr>
      <w:r w:rsidRPr="00155B11">
        <w:rPr>
          <w:rFonts w:ascii="Arial" w:eastAsia="Times New Roman" w:hAnsi="Arial" w:cs="Arial"/>
          <w:b/>
          <w:bCs/>
          <w:color w:val="724128"/>
          <w:sz w:val="24"/>
          <w:szCs w:val="24"/>
        </w:rPr>
        <w:t>Type II RPGN: Immune Complex Rapidly Progressive Glomerulonephritis</w:t>
      </w:r>
    </w:p>
    <w:p w:rsidR="00155B11" w:rsidRPr="00155B11" w:rsidRDefault="00155B11" w:rsidP="00155B11">
      <w:pPr>
        <w:shd w:val="clear" w:color="auto" w:fill="FFFFFF"/>
        <w:spacing w:before="166" w:after="166" w:line="240" w:lineRule="auto"/>
        <w:rPr>
          <w:rFonts w:ascii="Times New Roman" w:eastAsia="Times New Roman" w:hAnsi="Times New Roman" w:cs="Times New Roman"/>
          <w:color w:val="000000"/>
          <w:sz w:val="24"/>
          <w:szCs w:val="24"/>
        </w:rPr>
      </w:pPr>
      <w:r w:rsidRPr="00155B11">
        <w:rPr>
          <w:rFonts w:ascii="Times New Roman" w:eastAsia="Times New Roman" w:hAnsi="Times New Roman" w:cs="Times New Roman"/>
          <w:color w:val="000000"/>
          <w:sz w:val="24"/>
          <w:szCs w:val="24"/>
        </w:rPr>
        <w:t>Histopathology of this entity reveals granular deposits of immune complexes from a wide range of causes including post-streptococcal glomerulonephritis, membranoproliferative glomerulonephritis, lupus nephritis, IgA nephropathy, and Henoch-Schonlein purpura.</w:t>
      </w:r>
      <w:hyperlink r:id="rId96" w:anchor="R82" w:history="1">
        <w:r w:rsidRPr="00155B11">
          <w:rPr>
            <w:rFonts w:ascii="Times New Roman" w:eastAsia="Times New Roman" w:hAnsi="Times New Roman" w:cs="Times New Roman"/>
            <w:color w:val="2F4A8B"/>
            <w:sz w:val="20"/>
            <w:szCs w:val="20"/>
            <w:u w:val="single"/>
            <w:vertAlign w:val="superscript"/>
          </w:rPr>
          <w:t>82</w:t>
        </w:r>
      </w:hyperlink>
      <w:r w:rsidRPr="00155B11">
        <w:rPr>
          <w:rFonts w:ascii="Times New Roman" w:eastAsia="Times New Roman" w:hAnsi="Times New Roman" w:cs="Times New Roman"/>
          <w:color w:val="000000"/>
          <w:sz w:val="20"/>
          <w:szCs w:val="20"/>
          <w:vertAlign w:val="superscript"/>
        </w:rPr>
        <w:t>,</w:t>
      </w:r>
      <w:hyperlink r:id="rId97" w:anchor="R83" w:history="1">
        <w:r w:rsidRPr="00155B11">
          <w:rPr>
            <w:rFonts w:ascii="Times New Roman" w:eastAsia="Times New Roman" w:hAnsi="Times New Roman" w:cs="Times New Roman"/>
            <w:color w:val="2F4A8B"/>
            <w:sz w:val="20"/>
            <w:szCs w:val="20"/>
            <w:u w:val="single"/>
            <w:vertAlign w:val="superscript"/>
          </w:rPr>
          <w:t>83</w:t>
        </w:r>
      </w:hyperlink>
      <w:r w:rsidRPr="00155B11">
        <w:rPr>
          <w:rFonts w:ascii="Times New Roman" w:eastAsia="Times New Roman" w:hAnsi="Times New Roman" w:cs="Times New Roman"/>
          <w:color w:val="000000"/>
          <w:sz w:val="24"/>
          <w:szCs w:val="24"/>
        </w:rPr>
        <w:t> The ASFA gives a category III recommendation for TPE in Immune Complex RPGN.</w:t>
      </w:r>
      <w:hyperlink r:id="rId98" w:anchor="R1" w:history="1">
        <w:r w:rsidRPr="00155B11">
          <w:rPr>
            <w:rFonts w:ascii="Times New Roman" w:eastAsia="Times New Roman" w:hAnsi="Times New Roman" w:cs="Times New Roman"/>
            <w:color w:val="2F4A8B"/>
            <w:sz w:val="20"/>
            <w:szCs w:val="20"/>
            <w:u w:val="single"/>
            <w:vertAlign w:val="superscript"/>
          </w:rPr>
          <w:t>1</w:t>
        </w:r>
      </w:hyperlink>
      <w:r w:rsidRPr="00155B11">
        <w:rPr>
          <w:rFonts w:ascii="Times New Roman" w:eastAsia="Times New Roman" w:hAnsi="Times New Roman" w:cs="Times New Roman"/>
          <w:color w:val="000000"/>
          <w:sz w:val="24"/>
          <w:szCs w:val="24"/>
        </w:rPr>
        <w:t> The recommended TPE replacement fluid is albumin.</w:t>
      </w:r>
    </w:p>
    <w:p w:rsidR="00155B11" w:rsidRPr="00155B11" w:rsidRDefault="00155B11" w:rsidP="00155B11">
      <w:pPr>
        <w:shd w:val="clear" w:color="auto" w:fill="FFFFFF"/>
        <w:spacing w:before="308" w:after="154" w:line="300" w:lineRule="atLeast"/>
        <w:outlineLvl w:val="2"/>
        <w:rPr>
          <w:rFonts w:ascii="Arial" w:eastAsia="Times New Roman" w:hAnsi="Arial" w:cs="Arial"/>
          <w:b/>
          <w:bCs/>
          <w:color w:val="724128"/>
          <w:sz w:val="24"/>
          <w:szCs w:val="24"/>
        </w:rPr>
      </w:pPr>
      <w:r w:rsidRPr="00155B11">
        <w:rPr>
          <w:rFonts w:ascii="Arial" w:eastAsia="Times New Roman" w:hAnsi="Arial" w:cs="Arial"/>
          <w:b/>
          <w:bCs/>
          <w:color w:val="724128"/>
          <w:sz w:val="24"/>
          <w:szCs w:val="24"/>
        </w:rPr>
        <w:t>Type III RPGN: Anti-Neutrophil Cytoplasmic Anti-bodies (ANCA) – Associated RPGN (Wegener’s Granulomatosis)</w:t>
      </w:r>
    </w:p>
    <w:p w:rsidR="00155B11" w:rsidRPr="00155B11" w:rsidRDefault="00155B11" w:rsidP="00155B11">
      <w:pPr>
        <w:shd w:val="clear" w:color="auto" w:fill="FFFFFF"/>
        <w:spacing w:before="166" w:after="166" w:line="240" w:lineRule="auto"/>
        <w:rPr>
          <w:rFonts w:ascii="Times New Roman" w:eastAsia="Times New Roman" w:hAnsi="Times New Roman" w:cs="Times New Roman"/>
          <w:color w:val="000000"/>
          <w:sz w:val="24"/>
          <w:szCs w:val="24"/>
        </w:rPr>
      </w:pPr>
      <w:r w:rsidRPr="00155B11">
        <w:rPr>
          <w:rFonts w:ascii="Times New Roman" w:eastAsia="Times New Roman" w:hAnsi="Times New Roman" w:cs="Times New Roman"/>
          <w:color w:val="000000"/>
          <w:sz w:val="24"/>
          <w:szCs w:val="24"/>
        </w:rPr>
        <w:t>Histopathology of this entity reveals minimal immune deposits in the glomerulus. However, the serum contains the distinctive biomarker ANCA. The ASFA gives a category I recommendation for TPE in ANCA-associated RPGN with diffuse alveolar hemorrhage and/or with dialysis dependence, and a category III for those with dialysis independence.</w:t>
      </w:r>
      <w:hyperlink r:id="rId99" w:anchor="R1" w:history="1">
        <w:r w:rsidRPr="00155B11">
          <w:rPr>
            <w:rFonts w:ascii="Times New Roman" w:eastAsia="Times New Roman" w:hAnsi="Times New Roman" w:cs="Times New Roman"/>
            <w:color w:val="2F4A8B"/>
            <w:sz w:val="20"/>
            <w:szCs w:val="20"/>
            <w:u w:val="single"/>
            <w:vertAlign w:val="superscript"/>
          </w:rPr>
          <w:t>1</w:t>
        </w:r>
      </w:hyperlink>
      <w:r w:rsidRPr="00155B11">
        <w:rPr>
          <w:rFonts w:ascii="Times New Roman" w:eastAsia="Times New Roman" w:hAnsi="Times New Roman" w:cs="Times New Roman"/>
          <w:color w:val="000000"/>
          <w:sz w:val="24"/>
          <w:szCs w:val="24"/>
        </w:rPr>
        <w:t> The recommended TPE replacement fluid is albumin but, if pulmonary hemorrhage is present, then plasma is recommended.</w:t>
      </w:r>
      <w:hyperlink r:id="rId100" w:anchor="R84" w:history="1">
        <w:r w:rsidRPr="00155B11">
          <w:rPr>
            <w:rFonts w:ascii="Times New Roman" w:eastAsia="Times New Roman" w:hAnsi="Times New Roman" w:cs="Times New Roman"/>
            <w:color w:val="2F4A8B"/>
            <w:sz w:val="20"/>
            <w:szCs w:val="20"/>
            <w:u w:val="single"/>
            <w:vertAlign w:val="superscript"/>
          </w:rPr>
          <w:t>84</w:t>
        </w:r>
      </w:hyperlink>
      <w:r w:rsidRPr="00155B11">
        <w:rPr>
          <w:rFonts w:ascii="Times New Roman" w:eastAsia="Times New Roman" w:hAnsi="Times New Roman" w:cs="Times New Roman"/>
          <w:color w:val="000000"/>
          <w:sz w:val="20"/>
          <w:szCs w:val="20"/>
          <w:vertAlign w:val="superscript"/>
        </w:rPr>
        <w:t>–</w:t>
      </w:r>
      <w:hyperlink r:id="rId101" w:anchor="R87" w:history="1">
        <w:r w:rsidRPr="00155B11">
          <w:rPr>
            <w:rFonts w:ascii="Times New Roman" w:eastAsia="Times New Roman" w:hAnsi="Times New Roman" w:cs="Times New Roman"/>
            <w:color w:val="2F4A8B"/>
            <w:sz w:val="20"/>
            <w:szCs w:val="20"/>
            <w:u w:val="single"/>
            <w:vertAlign w:val="superscript"/>
          </w:rPr>
          <w:t>87</w:t>
        </w:r>
      </w:hyperlink>
    </w:p>
    <w:p w:rsidR="00155B11" w:rsidRDefault="00155B11"/>
    <w:p w:rsidR="00155B11" w:rsidRPr="00155B11" w:rsidRDefault="00155B11" w:rsidP="00155B11">
      <w:pPr>
        <w:pBdr>
          <w:bottom w:val="single" w:sz="6" w:space="0" w:color="97B0C8"/>
        </w:pBdr>
        <w:shd w:val="clear" w:color="auto" w:fill="FFFFFF"/>
        <w:spacing w:before="270" w:after="0" w:line="267" w:lineRule="atLeast"/>
        <w:outlineLvl w:val="1"/>
        <w:rPr>
          <w:rFonts w:ascii="Arial" w:eastAsia="Times New Roman" w:hAnsi="Arial" w:cs="Arial"/>
          <w:b/>
          <w:bCs/>
          <w:color w:val="985735"/>
          <w:sz w:val="27"/>
          <w:szCs w:val="27"/>
        </w:rPr>
      </w:pPr>
      <w:r w:rsidRPr="00155B11">
        <w:rPr>
          <w:rFonts w:ascii="Arial" w:eastAsia="Times New Roman" w:hAnsi="Arial" w:cs="Arial"/>
          <w:b/>
          <w:bCs/>
          <w:color w:val="985735"/>
          <w:sz w:val="27"/>
          <w:szCs w:val="27"/>
        </w:rPr>
        <w:t>Other Conditions</w:t>
      </w:r>
    </w:p>
    <w:p w:rsidR="00155B11" w:rsidRPr="00155B11" w:rsidRDefault="00155B11" w:rsidP="00155B11">
      <w:pPr>
        <w:shd w:val="clear" w:color="auto" w:fill="FFFFFF"/>
        <w:spacing w:before="308" w:after="154" w:line="300" w:lineRule="atLeast"/>
        <w:outlineLvl w:val="2"/>
        <w:rPr>
          <w:rFonts w:ascii="Arial" w:eastAsia="Times New Roman" w:hAnsi="Arial" w:cs="Arial"/>
          <w:b/>
          <w:bCs/>
          <w:color w:val="724128"/>
          <w:sz w:val="24"/>
          <w:szCs w:val="24"/>
        </w:rPr>
      </w:pPr>
      <w:r w:rsidRPr="00155B11">
        <w:rPr>
          <w:rFonts w:ascii="Arial" w:eastAsia="Times New Roman" w:hAnsi="Arial" w:cs="Arial"/>
          <w:b/>
          <w:bCs/>
          <w:color w:val="724128"/>
          <w:sz w:val="24"/>
          <w:szCs w:val="24"/>
        </w:rPr>
        <w:t>Hemophagocytic Lymphohistiocytosis: Pathologic Hyperactive Inflammation</w:t>
      </w:r>
    </w:p>
    <w:p w:rsidR="00155B11" w:rsidRPr="00155B11" w:rsidRDefault="00155B11" w:rsidP="00155B11">
      <w:pPr>
        <w:shd w:val="clear" w:color="auto" w:fill="FFFFFF"/>
        <w:spacing w:before="166" w:after="166" w:line="240" w:lineRule="auto"/>
        <w:rPr>
          <w:rFonts w:ascii="Times New Roman" w:eastAsia="Times New Roman" w:hAnsi="Times New Roman" w:cs="Times New Roman"/>
          <w:color w:val="000000"/>
          <w:sz w:val="24"/>
          <w:szCs w:val="24"/>
        </w:rPr>
      </w:pPr>
      <w:r w:rsidRPr="00155B11">
        <w:rPr>
          <w:rFonts w:ascii="Times New Roman" w:eastAsia="Times New Roman" w:hAnsi="Times New Roman" w:cs="Times New Roman"/>
          <w:color w:val="000000"/>
          <w:sz w:val="24"/>
          <w:szCs w:val="24"/>
        </w:rPr>
        <w:t>Secondary Hemophagocytic Lymphohistiocytosis (HLH) has been increasingly diagnosed in the intensive care unit. HLH is a syndrome of pathologic hyperactive inflammation due to unchecked immune activation. </w:t>
      </w:r>
      <w:hyperlink r:id="rId102" w:anchor="R88" w:history="1">
        <w:r w:rsidRPr="00155B11">
          <w:rPr>
            <w:rFonts w:ascii="Times New Roman" w:eastAsia="Times New Roman" w:hAnsi="Times New Roman" w:cs="Times New Roman"/>
            <w:color w:val="2F4A8B"/>
            <w:sz w:val="20"/>
            <w:szCs w:val="20"/>
            <w:u w:val="single"/>
            <w:vertAlign w:val="superscript"/>
          </w:rPr>
          <w:t>88</w:t>
        </w:r>
      </w:hyperlink>
      <w:r w:rsidRPr="00155B11">
        <w:rPr>
          <w:rFonts w:ascii="Times New Roman" w:eastAsia="Times New Roman" w:hAnsi="Times New Roman" w:cs="Times New Roman"/>
          <w:color w:val="000000"/>
          <w:sz w:val="24"/>
          <w:szCs w:val="24"/>
        </w:rPr>
        <w:t> Primary HLH is associated with genetic mutations such as those in the perforin gene. Perforin is normally secreted from cytotoxic T-lymphocytes and natural killer cells into the membrane of target cells and acts to trigger cell death. HLH occurs when lymphocyte-mediated cytotoxicity is impaired and apoptosis is unable to be triggered. This leads to abnormal T-cell activation and pathologic inflammatory cytokine production. Clinically these patients progress to multiple organ failure with the following clinical criteria: 1) fever; 2) splenomegaly; 3) cytopenia; 4) hypertriglyceridemia; 5) hemophagocytosis in bone marrow, spleen, lymph nodes, or liver; 6) low or absent NK-Cell activity; 7) Ferritin &gt; 500 ng/mL, and 8) elevated serum CD 25 (alpha-chain of soluble IL-2 receptor).</w:t>
      </w:r>
      <w:hyperlink r:id="rId103" w:anchor="R88" w:history="1">
        <w:r w:rsidRPr="00155B11">
          <w:rPr>
            <w:rFonts w:ascii="Times New Roman" w:eastAsia="Times New Roman" w:hAnsi="Times New Roman" w:cs="Times New Roman"/>
            <w:color w:val="2F4A8B"/>
            <w:sz w:val="20"/>
            <w:szCs w:val="20"/>
            <w:u w:val="single"/>
            <w:vertAlign w:val="superscript"/>
          </w:rPr>
          <w:t>88</w:t>
        </w:r>
      </w:hyperlink>
      <w:r w:rsidRPr="00155B11">
        <w:rPr>
          <w:rFonts w:ascii="Times New Roman" w:eastAsia="Times New Roman" w:hAnsi="Times New Roman" w:cs="Times New Roman"/>
          <w:color w:val="000000"/>
          <w:sz w:val="20"/>
          <w:szCs w:val="20"/>
          <w:vertAlign w:val="superscript"/>
        </w:rPr>
        <w:t>,</w:t>
      </w:r>
      <w:hyperlink r:id="rId104" w:anchor="R89" w:history="1">
        <w:r w:rsidRPr="00155B11">
          <w:rPr>
            <w:rFonts w:ascii="Times New Roman" w:eastAsia="Times New Roman" w:hAnsi="Times New Roman" w:cs="Times New Roman"/>
            <w:color w:val="2F4A8B"/>
            <w:sz w:val="20"/>
            <w:szCs w:val="20"/>
            <w:u w:val="single"/>
            <w:vertAlign w:val="superscript"/>
          </w:rPr>
          <w:t>89</w:t>
        </w:r>
      </w:hyperlink>
      <w:r w:rsidRPr="00155B11">
        <w:rPr>
          <w:rFonts w:ascii="Times New Roman" w:eastAsia="Times New Roman" w:hAnsi="Times New Roman" w:cs="Times New Roman"/>
          <w:color w:val="000000"/>
          <w:sz w:val="24"/>
          <w:szCs w:val="24"/>
        </w:rPr>
        <w:t xml:space="preserve"> The primary treatment for familial/primary HLH is a course of immunosuppression and bone marrow transplantation. Secondary HLH is an acquired form of pathologic hyperactive inflammation due to a trigger. </w:t>
      </w:r>
      <w:r w:rsidRPr="00155B11">
        <w:rPr>
          <w:rFonts w:ascii="Times New Roman" w:eastAsia="Times New Roman" w:hAnsi="Times New Roman" w:cs="Times New Roman"/>
          <w:color w:val="000000"/>
          <w:sz w:val="24"/>
          <w:szCs w:val="24"/>
        </w:rPr>
        <w:lastRenderedPageBreak/>
        <w:t>Epstein Barr Virus is the most commonly recognized infection associated with secondary HLH. For other associated viral, bacterial and fungal infections, the line between secondary HLH versus sepsis-induced multiple organ failure due to other mechanisms, such as immune paralysis with unresolved infection and thrombotic microangiopathy, is blurred.</w:t>
      </w:r>
      <w:hyperlink r:id="rId105" w:anchor="R90" w:history="1">
        <w:r w:rsidRPr="00155B11">
          <w:rPr>
            <w:rFonts w:ascii="Times New Roman" w:eastAsia="Times New Roman" w:hAnsi="Times New Roman" w:cs="Times New Roman"/>
            <w:color w:val="2F4A8B"/>
            <w:sz w:val="20"/>
            <w:szCs w:val="20"/>
            <w:u w:val="single"/>
            <w:vertAlign w:val="superscript"/>
          </w:rPr>
          <w:t>90</w:t>
        </w:r>
      </w:hyperlink>
      <w:r w:rsidRPr="00155B11">
        <w:rPr>
          <w:rFonts w:ascii="Times New Roman" w:eastAsia="Times New Roman" w:hAnsi="Times New Roman" w:cs="Times New Roman"/>
          <w:color w:val="000000"/>
          <w:sz w:val="24"/>
          <w:szCs w:val="24"/>
        </w:rPr>
        <w:t> Much research is still needed to define the best strategy to balance the immune modulation. Too much immune suppression in an immune paralyzed patient with unresolved infection could be detrimental. Inadequate immune suppression in an uncontrolled pathologic hyperactive inflammation (i.e. secondary HLH) could also be detrimental.</w:t>
      </w:r>
    </w:p>
    <w:p w:rsidR="00155B11" w:rsidRPr="00155B11" w:rsidRDefault="00155B11" w:rsidP="00155B11">
      <w:pPr>
        <w:shd w:val="clear" w:color="auto" w:fill="FFFFFF"/>
        <w:spacing w:before="166" w:after="166" w:line="240" w:lineRule="auto"/>
        <w:rPr>
          <w:rFonts w:ascii="Times New Roman" w:eastAsia="Times New Roman" w:hAnsi="Times New Roman" w:cs="Times New Roman"/>
          <w:color w:val="000000"/>
          <w:sz w:val="24"/>
          <w:szCs w:val="24"/>
        </w:rPr>
      </w:pPr>
      <w:r w:rsidRPr="00155B11">
        <w:rPr>
          <w:rFonts w:ascii="Times New Roman" w:eastAsia="Times New Roman" w:hAnsi="Times New Roman" w:cs="Times New Roman"/>
          <w:color w:val="000000"/>
          <w:sz w:val="24"/>
          <w:szCs w:val="24"/>
        </w:rPr>
        <w:t>TPE has been reported in many small case series to be beneficial in calming the cytokine storm and to provide hematologic support in patients with primary and secondary HLH.</w:t>
      </w:r>
      <w:hyperlink r:id="rId106" w:anchor="R91" w:history="1">
        <w:r w:rsidRPr="00155B11">
          <w:rPr>
            <w:rFonts w:ascii="Times New Roman" w:eastAsia="Times New Roman" w:hAnsi="Times New Roman" w:cs="Times New Roman"/>
            <w:color w:val="2F4A8B"/>
            <w:sz w:val="20"/>
            <w:szCs w:val="20"/>
            <w:u w:val="single"/>
            <w:vertAlign w:val="superscript"/>
          </w:rPr>
          <w:t>91</w:t>
        </w:r>
      </w:hyperlink>
      <w:r w:rsidRPr="00155B11">
        <w:rPr>
          <w:rFonts w:ascii="Times New Roman" w:eastAsia="Times New Roman" w:hAnsi="Times New Roman" w:cs="Times New Roman"/>
          <w:color w:val="000000"/>
          <w:sz w:val="20"/>
          <w:szCs w:val="20"/>
          <w:vertAlign w:val="superscript"/>
        </w:rPr>
        <w:t>–</w:t>
      </w:r>
      <w:hyperlink r:id="rId107" w:anchor="R99" w:history="1">
        <w:r w:rsidRPr="00155B11">
          <w:rPr>
            <w:rFonts w:ascii="Times New Roman" w:eastAsia="Times New Roman" w:hAnsi="Times New Roman" w:cs="Times New Roman"/>
            <w:color w:val="2F4A8B"/>
            <w:sz w:val="20"/>
            <w:szCs w:val="20"/>
            <w:u w:val="single"/>
            <w:vertAlign w:val="superscript"/>
          </w:rPr>
          <w:t>99</w:t>
        </w:r>
      </w:hyperlink>
      <w:r w:rsidRPr="00155B11">
        <w:rPr>
          <w:rFonts w:ascii="Times New Roman" w:eastAsia="Times New Roman" w:hAnsi="Times New Roman" w:cs="Times New Roman"/>
          <w:color w:val="000000"/>
          <w:sz w:val="24"/>
          <w:szCs w:val="24"/>
        </w:rPr>
        <w:t> A recent small study found significant improved survival in patients with secondary HLH who received plasma exchange, steroids, and IVIG (n = 17) versus those who received plasma exchange, steroids, and/or cyclosporine, and/or etoposide (n = 6).</w:t>
      </w:r>
      <w:hyperlink r:id="rId108" w:anchor="R100" w:history="1">
        <w:r w:rsidRPr="00155B11">
          <w:rPr>
            <w:rFonts w:ascii="Times New Roman" w:eastAsia="Times New Roman" w:hAnsi="Times New Roman" w:cs="Times New Roman"/>
            <w:color w:val="2F4A8B"/>
            <w:sz w:val="20"/>
            <w:szCs w:val="20"/>
            <w:u w:val="single"/>
            <w:vertAlign w:val="superscript"/>
          </w:rPr>
          <w:t>100</w:t>
        </w:r>
      </w:hyperlink>
      <w:r w:rsidRPr="00155B11">
        <w:rPr>
          <w:rFonts w:ascii="Times New Roman" w:eastAsia="Times New Roman" w:hAnsi="Times New Roman" w:cs="Times New Roman"/>
          <w:color w:val="000000"/>
          <w:sz w:val="24"/>
          <w:szCs w:val="24"/>
        </w:rPr>
        <w:t> Currently, the ASFA has not commented on the use of TPE in HLH. Further research is warranted for this difficult therapeutic strategy.</w:t>
      </w:r>
    </w:p>
    <w:p w:rsidR="00155B11" w:rsidRDefault="00155B11"/>
    <w:p w:rsidR="00155B11" w:rsidRPr="00155B11" w:rsidRDefault="00155B11" w:rsidP="00155B11">
      <w:pPr>
        <w:pBdr>
          <w:bottom w:val="single" w:sz="6" w:space="0" w:color="97B0C8"/>
        </w:pBdr>
        <w:shd w:val="clear" w:color="auto" w:fill="FFFFFF"/>
        <w:spacing w:before="270" w:after="0" w:line="267" w:lineRule="atLeast"/>
        <w:outlineLvl w:val="1"/>
        <w:rPr>
          <w:rFonts w:ascii="Arial" w:eastAsia="Times New Roman" w:hAnsi="Arial" w:cs="Arial"/>
          <w:b/>
          <w:bCs/>
          <w:color w:val="985735"/>
          <w:sz w:val="27"/>
          <w:szCs w:val="27"/>
        </w:rPr>
      </w:pPr>
      <w:r w:rsidRPr="00155B11">
        <w:rPr>
          <w:rFonts w:ascii="Arial" w:eastAsia="Times New Roman" w:hAnsi="Arial" w:cs="Arial"/>
          <w:b/>
          <w:bCs/>
          <w:color w:val="985735"/>
          <w:sz w:val="27"/>
          <w:szCs w:val="27"/>
        </w:rPr>
        <w:t>lusions</w:t>
      </w:r>
    </w:p>
    <w:p w:rsidR="00155B11" w:rsidRPr="00155B11" w:rsidRDefault="00155B11" w:rsidP="00155B11">
      <w:pPr>
        <w:shd w:val="clear" w:color="auto" w:fill="FFFFFF"/>
        <w:spacing w:before="166" w:after="166" w:line="240" w:lineRule="auto"/>
        <w:rPr>
          <w:rFonts w:ascii="Times New Roman" w:eastAsia="Times New Roman" w:hAnsi="Times New Roman" w:cs="Times New Roman"/>
          <w:color w:val="000000"/>
          <w:sz w:val="24"/>
          <w:szCs w:val="24"/>
        </w:rPr>
      </w:pPr>
      <w:r w:rsidRPr="00155B11">
        <w:rPr>
          <w:rFonts w:ascii="Times New Roman" w:eastAsia="Times New Roman" w:hAnsi="Times New Roman" w:cs="Times New Roman"/>
          <w:color w:val="000000"/>
          <w:sz w:val="24"/>
          <w:szCs w:val="24"/>
        </w:rPr>
        <w:t>TPE is a modern approach to the ancient therapy of bloodletting. Recently, the American Society for Apheresis, using an evidence-based approach, published a comprehensive apheresis guideline to aid physicians caring for critically ill patients who depend on plasmapheresis as a therapeutic strategy. We are indebted to them for their hard work. It seems that TPE as a therapy has seen an increase in usage, particularly by those who take care of critically ill patients. Using an evidence-based approach is the best way to standardize care and also to provide a platform for innovation to move the field forward.</w:t>
      </w:r>
    </w:p>
    <w:p w:rsidR="00155B11" w:rsidRDefault="00155B11"/>
    <w:p w:rsidR="00155B11" w:rsidRDefault="00155B11"/>
    <w:p w:rsidR="00155B11" w:rsidRPr="00155B11" w:rsidRDefault="00155B11" w:rsidP="00155B11">
      <w:pPr>
        <w:pBdr>
          <w:bottom w:val="single" w:sz="6" w:space="0" w:color="97B0C8"/>
        </w:pBdr>
        <w:shd w:val="clear" w:color="auto" w:fill="FFFFFF"/>
        <w:spacing w:before="270" w:after="0" w:line="267" w:lineRule="atLeast"/>
        <w:outlineLvl w:val="1"/>
        <w:rPr>
          <w:rFonts w:ascii="Arial" w:eastAsia="Times New Roman" w:hAnsi="Arial" w:cs="Arial"/>
          <w:b/>
          <w:bCs/>
          <w:color w:val="985735"/>
          <w:sz w:val="27"/>
          <w:szCs w:val="27"/>
        </w:rPr>
      </w:pPr>
      <w:r w:rsidRPr="00155B11">
        <w:rPr>
          <w:rFonts w:ascii="Arial" w:eastAsia="Times New Roman" w:hAnsi="Arial" w:cs="Arial"/>
          <w:b/>
          <w:bCs/>
          <w:color w:val="985735"/>
          <w:sz w:val="27"/>
          <w:szCs w:val="27"/>
        </w:rPr>
        <w:t>Footnotes</w:t>
      </w:r>
    </w:p>
    <w:p w:rsidR="00155B11" w:rsidRDefault="00155B11" w:rsidP="00155B11">
      <w:pPr>
        <w:pStyle w:val="fn"/>
        <w:shd w:val="clear" w:color="auto" w:fill="FFFFFF"/>
        <w:spacing w:before="166" w:beforeAutospacing="0" w:after="166" w:afterAutospacing="0"/>
        <w:rPr>
          <w:rFonts w:ascii="Arial" w:hAnsi="Arial" w:cs="Arial"/>
          <w:color w:val="000000"/>
          <w:sz w:val="20"/>
          <w:szCs w:val="20"/>
        </w:rPr>
      </w:pPr>
      <w:r>
        <w:rPr>
          <w:rFonts w:ascii="Arial" w:hAnsi="Arial" w:cs="Arial"/>
          <w:color w:val="000000"/>
          <w:sz w:val="20"/>
          <w:szCs w:val="20"/>
          <w:vertAlign w:val="superscript"/>
        </w:rPr>
        <w:t>1</w:t>
      </w:r>
      <w:r>
        <w:rPr>
          <w:rFonts w:ascii="Arial" w:hAnsi="Arial" w:cs="Arial"/>
          <w:color w:val="000000"/>
          <w:sz w:val="20"/>
          <w:szCs w:val="20"/>
        </w:rPr>
        <w:t>The American Society of Apheresis published a comprehensive evidence-based guideline to aid intensivists in using plasmapheresis as a therapeutic strategy</w:t>
      </w:r>
    </w:p>
    <w:p w:rsidR="00155B11" w:rsidRDefault="00155B11" w:rsidP="00155B11">
      <w:pPr>
        <w:pStyle w:val="fn"/>
        <w:shd w:val="clear" w:color="auto" w:fill="FFFFFF"/>
        <w:spacing w:before="166" w:beforeAutospacing="0" w:after="166" w:afterAutospacing="0"/>
        <w:rPr>
          <w:rFonts w:ascii="Arial" w:hAnsi="Arial" w:cs="Arial"/>
          <w:color w:val="000000"/>
          <w:sz w:val="20"/>
          <w:szCs w:val="20"/>
        </w:rPr>
      </w:pPr>
      <w:r>
        <w:rPr>
          <w:rFonts w:ascii="Arial" w:hAnsi="Arial" w:cs="Arial"/>
          <w:color w:val="000000"/>
          <w:sz w:val="20"/>
          <w:szCs w:val="20"/>
          <w:vertAlign w:val="superscript"/>
        </w:rPr>
        <w:t>2</w:t>
      </w:r>
      <w:r>
        <w:rPr>
          <w:rFonts w:ascii="Arial" w:hAnsi="Arial" w:cs="Arial"/>
          <w:color w:val="000000"/>
          <w:sz w:val="20"/>
          <w:szCs w:val="20"/>
        </w:rPr>
        <w:t>Plasmapheresis has seen an increase in usage in critically ill patients</w:t>
      </w:r>
    </w:p>
    <w:p w:rsidR="00155B11" w:rsidRDefault="00155B11" w:rsidP="00155B11">
      <w:pPr>
        <w:pStyle w:val="fn"/>
        <w:shd w:val="clear" w:color="auto" w:fill="FFFFFF"/>
        <w:spacing w:before="166" w:beforeAutospacing="0" w:after="166" w:afterAutospacing="0"/>
        <w:rPr>
          <w:rFonts w:ascii="Arial" w:hAnsi="Arial" w:cs="Arial"/>
          <w:color w:val="000000"/>
          <w:sz w:val="20"/>
          <w:szCs w:val="20"/>
        </w:rPr>
      </w:pPr>
      <w:r>
        <w:rPr>
          <w:rFonts w:ascii="Arial" w:hAnsi="Arial" w:cs="Arial"/>
          <w:color w:val="000000"/>
          <w:sz w:val="20"/>
          <w:szCs w:val="20"/>
          <w:vertAlign w:val="superscript"/>
        </w:rPr>
        <w:t>3</w:t>
      </w:r>
      <w:r>
        <w:rPr>
          <w:rFonts w:ascii="Arial" w:hAnsi="Arial" w:cs="Arial"/>
          <w:color w:val="000000"/>
          <w:sz w:val="20"/>
          <w:szCs w:val="20"/>
        </w:rPr>
        <w:t>Thrombotic microangiopathies, vasculitides, liver failure, ABO incompatible solid organ transplantation, neurologic disorders, renal disorders, and immune dysregulation are some of the disorders that intensivists could consider using plasmapheresis as a therapeutic strategy</w:t>
      </w:r>
    </w:p>
    <w:p w:rsidR="00155B11" w:rsidRPr="00155B11" w:rsidRDefault="00155B11" w:rsidP="00155B11">
      <w:pPr>
        <w:pBdr>
          <w:bottom w:val="single" w:sz="6" w:space="0" w:color="97B0C8"/>
        </w:pBdr>
        <w:shd w:val="clear" w:color="auto" w:fill="FFFFFF"/>
        <w:spacing w:before="270" w:after="0" w:line="267" w:lineRule="atLeast"/>
        <w:outlineLvl w:val="1"/>
        <w:rPr>
          <w:rFonts w:ascii="Arial" w:eastAsia="Times New Roman" w:hAnsi="Arial" w:cs="Arial"/>
          <w:b/>
          <w:bCs/>
          <w:color w:val="985735"/>
          <w:sz w:val="27"/>
          <w:szCs w:val="27"/>
        </w:rPr>
      </w:pPr>
      <w:r w:rsidRPr="00155B11">
        <w:rPr>
          <w:rFonts w:ascii="Arial" w:eastAsia="Times New Roman" w:hAnsi="Arial" w:cs="Arial"/>
          <w:b/>
          <w:bCs/>
          <w:color w:val="985735"/>
          <w:sz w:val="27"/>
          <w:szCs w:val="27"/>
        </w:rPr>
        <w:t>References</w:t>
      </w:r>
    </w:p>
    <w:p w:rsidR="00155B11" w:rsidRPr="00155B11" w:rsidRDefault="00155B11" w:rsidP="00155B11">
      <w:pPr>
        <w:shd w:val="clear" w:color="auto" w:fill="FFFFFF"/>
        <w:spacing w:line="240" w:lineRule="auto"/>
        <w:rPr>
          <w:rFonts w:ascii="Times New Roman" w:eastAsia="Times New Roman" w:hAnsi="Times New Roman" w:cs="Times New Roman"/>
          <w:color w:val="000000"/>
          <w:sz w:val="24"/>
          <w:szCs w:val="24"/>
        </w:rPr>
      </w:pPr>
      <w:r w:rsidRPr="00155B11">
        <w:rPr>
          <w:rFonts w:ascii="Times New Roman" w:eastAsia="Times New Roman" w:hAnsi="Times New Roman" w:cs="Times New Roman"/>
          <w:color w:val="000000"/>
          <w:sz w:val="24"/>
          <w:szCs w:val="24"/>
        </w:rPr>
        <w:t>1. Szczepiorkowski ZM, Winters JL, Bandarenko N, et al. Guidelines on the use of therapeutic apheresis in clinical practice--evidence-based approach from the Apheresis Applications Committee of the American Society for Apheresis. </w:t>
      </w:r>
      <w:r w:rsidRPr="00155B11">
        <w:rPr>
          <w:rFonts w:ascii="Times New Roman" w:eastAsia="Times New Roman" w:hAnsi="Times New Roman" w:cs="Times New Roman"/>
          <w:i/>
          <w:iCs/>
          <w:color w:val="000000"/>
          <w:sz w:val="24"/>
          <w:szCs w:val="24"/>
        </w:rPr>
        <w:t>J Clin Apher. </w:t>
      </w:r>
      <w:r w:rsidRPr="00155B11">
        <w:rPr>
          <w:rFonts w:ascii="Times New Roman" w:eastAsia="Times New Roman" w:hAnsi="Times New Roman" w:cs="Times New Roman"/>
          <w:color w:val="000000"/>
          <w:sz w:val="24"/>
          <w:szCs w:val="24"/>
        </w:rPr>
        <w:t>2010;25(3):83–177. [</w:t>
      </w:r>
      <w:hyperlink r:id="rId109" w:history="1">
        <w:r w:rsidRPr="00155B11">
          <w:rPr>
            <w:rFonts w:ascii="Times New Roman" w:eastAsia="Times New Roman" w:hAnsi="Times New Roman" w:cs="Times New Roman"/>
            <w:color w:val="2F4A8B"/>
            <w:sz w:val="24"/>
            <w:szCs w:val="24"/>
            <w:u w:val="single"/>
          </w:rPr>
          <w:t>PubMed</w:t>
        </w:r>
      </w:hyperlink>
      <w:r w:rsidRPr="00155B11">
        <w:rPr>
          <w:rFonts w:ascii="Times New Roman" w:eastAsia="Times New Roman" w:hAnsi="Times New Roman" w:cs="Times New Roman"/>
          <w:color w:val="000000"/>
          <w:sz w:val="24"/>
          <w:szCs w:val="24"/>
        </w:rPr>
        <w:t>] [</w:t>
      </w:r>
      <w:hyperlink r:id="rId110" w:tgtFrame="_blank" w:history="1">
        <w:r w:rsidRPr="00155B11">
          <w:rPr>
            <w:rFonts w:ascii="Times New Roman" w:eastAsia="Times New Roman" w:hAnsi="Times New Roman" w:cs="Times New Roman"/>
            <w:color w:val="2F4A8B"/>
            <w:sz w:val="24"/>
            <w:szCs w:val="24"/>
            <w:u w:val="single"/>
          </w:rPr>
          <w:t>Google Scholar</w:t>
        </w:r>
      </w:hyperlink>
      <w:r w:rsidRPr="00155B11">
        <w:rPr>
          <w:rFonts w:ascii="Times New Roman" w:eastAsia="Times New Roman" w:hAnsi="Times New Roman" w:cs="Times New Roman"/>
          <w:color w:val="000000"/>
          <w:sz w:val="24"/>
          <w:szCs w:val="24"/>
        </w:rPr>
        <w:t>]</w:t>
      </w:r>
    </w:p>
    <w:p w:rsidR="00155B11" w:rsidRPr="00155B11" w:rsidRDefault="00155B11" w:rsidP="00155B11">
      <w:pPr>
        <w:shd w:val="clear" w:color="auto" w:fill="FFFFFF"/>
        <w:spacing w:line="240" w:lineRule="auto"/>
        <w:rPr>
          <w:rFonts w:ascii="Times New Roman" w:eastAsia="Times New Roman" w:hAnsi="Times New Roman" w:cs="Times New Roman"/>
          <w:color w:val="000000"/>
          <w:sz w:val="24"/>
          <w:szCs w:val="24"/>
        </w:rPr>
      </w:pPr>
      <w:r w:rsidRPr="00155B11">
        <w:rPr>
          <w:rFonts w:ascii="Times New Roman" w:eastAsia="Times New Roman" w:hAnsi="Times New Roman" w:cs="Times New Roman"/>
          <w:color w:val="000000"/>
          <w:sz w:val="24"/>
          <w:szCs w:val="24"/>
        </w:rPr>
        <w:lastRenderedPageBreak/>
        <w:t>2. Moake JL. Thrombotic microangiopathies. </w:t>
      </w:r>
      <w:r w:rsidRPr="00155B11">
        <w:rPr>
          <w:rFonts w:ascii="Times New Roman" w:eastAsia="Times New Roman" w:hAnsi="Times New Roman" w:cs="Times New Roman"/>
          <w:i/>
          <w:iCs/>
          <w:color w:val="000000"/>
          <w:sz w:val="24"/>
          <w:szCs w:val="24"/>
        </w:rPr>
        <w:t>N Engl J Med. </w:t>
      </w:r>
      <w:r w:rsidRPr="00155B11">
        <w:rPr>
          <w:rFonts w:ascii="Times New Roman" w:eastAsia="Times New Roman" w:hAnsi="Times New Roman" w:cs="Times New Roman"/>
          <w:color w:val="000000"/>
          <w:sz w:val="24"/>
          <w:szCs w:val="24"/>
        </w:rPr>
        <w:t>2002;347(8):589–600. [</w:t>
      </w:r>
      <w:hyperlink r:id="rId111" w:history="1">
        <w:r w:rsidRPr="00155B11">
          <w:rPr>
            <w:rFonts w:ascii="Times New Roman" w:eastAsia="Times New Roman" w:hAnsi="Times New Roman" w:cs="Times New Roman"/>
            <w:color w:val="2F4A8B"/>
            <w:sz w:val="24"/>
            <w:szCs w:val="24"/>
            <w:u w:val="single"/>
          </w:rPr>
          <w:t>PubMed</w:t>
        </w:r>
      </w:hyperlink>
      <w:r w:rsidRPr="00155B11">
        <w:rPr>
          <w:rFonts w:ascii="Times New Roman" w:eastAsia="Times New Roman" w:hAnsi="Times New Roman" w:cs="Times New Roman"/>
          <w:color w:val="000000"/>
          <w:sz w:val="24"/>
          <w:szCs w:val="24"/>
        </w:rPr>
        <w:t>] [</w:t>
      </w:r>
      <w:hyperlink r:id="rId112" w:tgtFrame="_blank" w:history="1">
        <w:r w:rsidRPr="00155B11">
          <w:rPr>
            <w:rFonts w:ascii="Times New Roman" w:eastAsia="Times New Roman" w:hAnsi="Times New Roman" w:cs="Times New Roman"/>
            <w:color w:val="2F4A8B"/>
            <w:sz w:val="24"/>
            <w:szCs w:val="24"/>
            <w:u w:val="single"/>
          </w:rPr>
          <w:t>Google Scholar</w:t>
        </w:r>
      </w:hyperlink>
      <w:r w:rsidRPr="00155B11">
        <w:rPr>
          <w:rFonts w:ascii="Times New Roman" w:eastAsia="Times New Roman" w:hAnsi="Times New Roman" w:cs="Times New Roman"/>
          <w:color w:val="000000"/>
          <w:sz w:val="24"/>
          <w:szCs w:val="24"/>
        </w:rPr>
        <w:t>]</w:t>
      </w:r>
    </w:p>
    <w:p w:rsidR="00155B11" w:rsidRPr="00155B11" w:rsidRDefault="00155B11" w:rsidP="00155B11">
      <w:pPr>
        <w:shd w:val="clear" w:color="auto" w:fill="FFFFFF"/>
        <w:spacing w:line="240" w:lineRule="auto"/>
        <w:rPr>
          <w:rFonts w:ascii="Times New Roman" w:eastAsia="Times New Roman" w:hAnsi="Times New Roman" w:cs="Times New Roman"/>
          <w:color w:val="000000"/>
          <w:sz w:val="24"/>
          <w:szCs w:val="24"/>
        </w:rPr>
      </w:pPr>
      <w:r w:rsidRPr="00155B11">
        <w:rPr>
          <w:rFonts w:ascii="Times New Roman" w:eastAsia="Times New Roman" w:hAnsi="Times New Roman" w:cs="Times New Roman"/>
          <w:color w:val="000000"/>
          <w:sz w:val="24"/>
          <w:szCs w:val="24"/>
        </w:rPr>
        <w:t>3. Asada Y, Sumiyoshi A, Hayashi T, Suzumiya J, Kaketani K. Immunohistochemistry of vascular lesion in thrombotic thrombocytopenic purpura, with special reference to factor VIII related antigen. </w:t>
      </w:r>
      <w:r w:rsidRPr="00155B11">
        <w:rPr>
          <w:rFonts w:ascii="Times New Roman" w:eastAsia="Times New Roman" w:hAnsi="Times New Roman" w:cs="Times New Roman"/>
          <w:i/>
          <w:iCs/>
          <w:color w:val="000000"/>
          <w:sz w:val="24"/>
          <w:szCs w:val="24"/>
        </w:rPr>
        <w:t>Thromb Res. </w:t>
      </w:r>
      <w:r w:rsidRPr="00155B11">
        <w:rPr>
          <w:rFonts w:ascii="Times New Roman" w:eastAsia="Times New Roman" w:hAnsi="Times New Roman" w:cs="Times New Roman"/>
          <w:color w:val="000000"/>
          <w:sz w:val="24"/>
          <w:szCs w:val="24"/>
        </w:rPr>
        <w:t>1985;38(5):469–479. [</w:t>
      </w:r>
      <w:hyperlink r:id="rId113" w:history="1">
        <w:r w:rsidRPr="00155B11">
          <w:rPr>
            <w:rFonts w:ascii="Times New Roman" w:eastAsia="Times New Roman" w:hAnsi="Times New Roman" w:cs="Times New Roman"/>
            <w:color w:val="2F4A8B"/>
            <w:sz w:val="24"/>
            <w:szCs w:val="24"/>
            <w:u w:val="single"/>
          </w:rPr>
          <w:t>PubMed</w:t>
        </w:r>
      </w:hyperlink>
      <w:r w:rsidRPr="00155B11">
        <w:rPr>
          <w:rFonts w:ascii="Times New Roman" w:eastAsia="Times New Roman" w:hAnsi="Times New Roman" w:cs="Times New Roman"/>
          <w:color w:val="000000"/>
          <w:sz w:val="24"/>
          <w:szCs w:val="24"/>
        </w:rPr>
        <w:t>] [</w:t>
      </w:r>
      <w:hyperlink r:id="rId114" w:tgtFrame="_blank" w:history="1">
        <w:r w:rsidRPr="00155B11">
          <w:rPr>
            <w:rFonts w:ascii="Times New Roman" w:eastAsia="Times New Roman" w:hAnsi="Times New Roman" w:cs="Times New Roman"/>
            <w:color w:val="2F4A8B"/>
            <w:sz w:val="24"/>
            <w:szCs w:val="24"/>
            <w:u w:val="single"/>
          </w:rPr>
          <w:t>Google Scholar</w:t>
        </w:r>
      </w:hyperlink>
      <w:r w:rsidRPr="00155B11">
        <w:rPr>
          <w:rFonts w:ascii="Times New Roman" w:eastAsia="Times New Roman" w:hAnsi="Times New Roman" w:cs="Times New Roman"/>
          <w:color w:val="000000"/>
          <w:sz w:val="24"/>
          <w:szCs w:val="24"/>
        </w:rPr>
        <w:t>]</w:t>
      </w:r>
    </w:p>
    <w:p w:rsidR="00155B11" w:rsidRPr="00155B11" w:rsidRDefault="00155B11" w:rsidP="00155B11">
      <w:pPr>
        <w:shd w:val="clear" w:color="auto" w:fill="FFFFFF"/>
        <w:spacing w:line="240" w:lineRule="auto"/>
        <w:rPr>
          <w:rFonts w:ascii="Times New Roman" w:eastAsia="Times New Roman" w:hAnsi="Times New Roman" w:cs="Times New Roman"/>
          <w:color w:val="000000"/>
          <w:sz w:val="24"/>
          <w:szCs w:val="24"/>
        </w:rPr>
      </w:pPr>
      <w:r w:rsidRPr="00155B11">
        <w:rPr>
          <w:rFonts w:ascii="Times New Roman" w:eastAsia="Times New Roman" w:hAnsi="Times New Roman" w:cs="Times New Roman"/>
          <w:color w:val="000000"/>
          <w:sz w:val="24"/>
          <w:szCs w:val="24"/>
        </w:rPr>
        <w:t>4. Burke AP, Mont E, Kolodgie F, Virmani R. Thrombotic thrombocytopenic purpura causing rapid unexpected death: value of CD61 immunohistochemical staining in diagnosis. </w:t>
      </w:r>
      <w:r w:rsidRPr="00155B11">
        <w:rPr>
          <w:rFonts w:ascii="Times New Roman" w:eastAsia="Times New Roman" w:hAnsi="Times New Roman" w:cs="Times New Roman"/>
          <w:i/>
          <w:iCs/>
          <w:color w:val="000000"/>
          <w:sz w:val="24"/>
          <w:szCs w:val="24"/>
        </w:rPr>
        <w:t>Cardiovasc Pathol. </w:t>
      </w:r>
      <w:r w:rsidRPr="00155B11">
        <w:rPr>
          <w:rFonts w:ascii="Times New Roman" w:eastAsia="Times New Roman" w:hAnsi="Times New Roman" w:cs="Times New Roman"/>
          <w:color w:val="000000"/>
          <w:sz w:val="24"/>
          <w:szCs w:val="24"/>
        </w:rPr>
        <w:t>2005;14(3):150–155. [</w:t>
      </w:r>
      <w:hyperlink r:id="rId115" w:history="1">
        <w:r w:rsidRPr="00155B11">
          <w:rPr>
            <w:rFonts w:ascii="Times New Roman" w:eastAsia="Times New Roman" w:hAnsi="Times New Roman" w:cs="Times New Roman"/>
            <w:color w:val="2F4A8B"/>
            <w:sz w:val="24"/>
            <w:szCs w:val="24"/>
            <w:u w:val="single"/>
          </w:rPr>
          <w:t>PubMed</w:t>
        </w:r>
      </w:hyperlink>
      <w:r w:rsidRPr="00155B11">
        <w:rPr>
          <w:rFonts w:ascii="Times New Roman" w:eastAsia="Times New Roman" w:hAnsi="Times New Roman" w:cs="Times New Roman"/>
          <w:color w:val="000000"/>
          <w:sz w:val="24"/>
          <w:szCs w:val="24"/>
        </w:rPr>
        <w:t>] [</w:t>
      </w:r>
      <w:hyperlink r:id="rId116" w:tgtFrame="_blank" w:history="1">
        <w:r w:rsidRPr="00155B11">
          <w:rPr>
            <w:rFonts w:ascii="Times New Roman" w:eastAsia="Times New Roman" w:hAnsi="Times New Roman" w:cs="Times New Roman"/>
            <w:color w:val="2F4A8B"/>
            <w:sz w:val="24"/>
            <w:szCs w:val="24"/>
            <w:u w:val="single"/>
          </w:rPr>
          <w:t>Google Scholar</w:t>
        </w:r>
      </w:hyperlink>
      <w:r w:rsidRPr="00155B11">
        <w:rPr>
          <w:rFonts w:ascii="Times New Roman" w:eastAsia="Times New Roman" w:hAnsi="Times New Roman" w:cs="Times New Roman"/>
          <w:color w:val="000000"/>
          <w:sz w:val="24"/>
          <w:szCs w:val="24"/>
        </w:rPr>
        <w:t>]</w:t>
      </w:r>
    </w:p>
    <w:p w:rsidR="00155B11" w:rsidRPr="00155B11" w:rsidRDefault="00155B11" w:rsidP="00155B11">
      <w:pPr>
        <w:shd w:val="clear" w:color="auto" w:fill="FFFFFF"/>
        <w:spacing w:line="240" w:lineRule="auto"/>
        <w:rPr>
          <w:rFonts w:ascii="Times New Roman" w:eastAsia="Times New Roman" w:hAnsi="Times New Roman" w:cs="Times New Roman"/>
          <w:color w:val="000000"/>
          <w:sz w:val="24"/>
          <w:szCs w:val="24"/>
        </w:rPr>
      </w:pPr>
      <w:r w:rsidRPr="00155B11">
        <w:rPr>
          <w:rFonts w:ascii="Times New Roman" w:eastAsia="Times New Roman" w:hAnsi="Times New Roman" w:cs="Times New Roman"/>
          <w:color w:val="000000"/>
          <w:sz w:val="24"/>
          <w:szCs w:val="24"/>
        </w:rPr>
        <w:t>5. Hosler GA, Cusumano AM, Hutchins GM. Thrombotic thrombocytopenic purpura and hemolytic uremic syndrome are distinct pathologic entities. A review of 56 autopsy cases. </w:t>
      </w:r>
      <w:r w:rsidRPr="00155B11">
        <w:rPr>
          <w:rFonts w:ascii="Times New Roman" w:eastAsia="Times New Roman" w:hAnsi="Times New Roman" w:cs="Times New Roman"/>
          <w:i/>
          <w:iCs/>
          <w:color w:val="000000"/>
          <w:sz w:val="24"/>
          <w:szCs w:val="24"/>
        </w:rPr>
        <w:t>Arch Pathol Lab Med. </w:t>
      </w:r>
      <w:r w:rsidRPr="00155B11">
        <w:rPr>
          <w:rFonts w:ascii="Times New Roman" w:eastAsia="Times New Roman" w:hAnsi="Times New Roman" w:cs="Times New Roman"/>
          <w:color w:val="000000"/>
          <w:sz w:val="24"/>
          <w:szCs w:val="24"/>
        </w:rPr>
        <w:t>2003;127(7):834–839. [</w:t>
      </w:r>
      <w:hyperlink r:id="rId117" w:history="1">
        <w:r w:rsidRPr="00155B11">
          <w:rPr>
            <w:rFonts w:ascii="Times New Roman" w:eastAsia="Times New Roman" w:hAnsi="Times New Roman" w:cs="Times New Roman"/>
            <w:color w:val="2F4A8B"/>
            <w:sz w:val="24"/>
            <w:szCs w:val="24"/>
            <w:u w:val="single"/>
          </w:rPr>
          <w:t>PubMed</w:t>
        </w:r>
      </w:hyperlink>
      <w:r w:rsidRPr="00155B11">
        <w:rPr>
          <w:rFonts w:ascii="Times New Roman" w:eastAsia="Times New Roman" w:hAnsi="Times New Roman" w:cs="Times New Roman"/>
          <w:color w:val="000000"/>
          <w:sz w:val="24"/>
          <w:szCs w:val="24"/>
        </w:rPr>
        <w:t>] [</w:t>
      </w:r>
      <w:hyperlink r:id="rId118" w:tgtFrame="_blank" w:history="1">
        <w:r w:rsidRPr="00155B11">
          <w:rPr>
            <w:rFonts w:ascii="Times New Roman" w:eastAsia="Times New Roman" w:hAnsi="Times New Roman" w:cs="Times New Roman"/>
            <w:color w:val="2F4A8B"/>
            <w:sz w:val="24"/>
            <w:szCs w:val="24"/>
            <w:u w:val="single"/>
          </w:rPr>
          <w:t>Google Scholar</w:t>
        </w:r>
      </w:hyperlink>
      <w:r w:rsidRPr="00155B11">
        <w:rPr>
          <w:rFonts w:ascii="Times New Roman" w:eastAsia="Times New Roman" w:hAnsi="Times New Roman" w:cs="Times New Roman"/>
          <w:color w:val="000000"/>
          <w:sz w:val="24"/>
          <w:szCs w:val="24"/>
        </w:rPr>
        <w:t>]</w:t>
      </w:r>
    </w:p>
    <w:p w:rsidR="00155B11" w:rsidRPr="00155B11" w:rsidRDefault="00155B11" w:rsidP="00155B11">
      <w:pPr>
        <w:shd w:val="clear" w:color="auto" w:fill="FFFFFF"/>
        <w:spacing w:line="240" w:lineRule="auto"/>
        <w:rPr>
          <w:rFonts w:ascii="Times New Roman" w:eastAsia="Times New Roman" w:hAnsi="Times New Roman" w:cs="Times New Roman"/>
          <w:color w:val="000000"/>
          <w:sz w:val="24"/>
          <w:szCs w:val="24"/>
        </w:rPr>
      </w:pPr>
      <w:r w:rsidRPr="00155B11">
        <w:rPr>
          <w:rFonts w:ascii="Times New Roman" w:eastAsia="Times New Roman" w:hAnsi="Times New Roman" w:cs="Times New Roman"/>
          <w:color w:val="000000"/>
          <w:sz w:val="24"/>
          <w:szCs w:val="24"/>
        </w:rPr>
        <w:t>6. Tsai HM, Chandler WL, Sarode R, et al. von Willebrand factor and von Willebrand factor-cleaving metalloprotease activity in Escherichia coli O157:H7-associated hemolytic uremic syndrome. </w:t>
      </w:r>
      <w:r w:rsidRPr="00155B11">
        <w:rPr>
          <w:rFonts w:ascii="Times New Roman" w:eastAsia="Times New Roman" w:hAnsi="Times New Roman" w:cs="Times New Roman"/>
          <w:i/>
          <w:iCs/>
          <w:color w:val="000000"/>
          <w:sz w:val="24"/>
          <w:szCs w:val="24"/>
        </w:rPr>
        <w:t>Pediatr Res. </w:t>
      </w:r>
      <w:r w:rsidRPr="00155B11">
        <w:rPr>
          <w:rFonts w:ascii="Times New Roman" w:eastAsia="Times New Roman" w:hAnsi="Times New Roman" w:cs="Times New Roman"/>
          <w:color w:val="000000"/>
          <w:sz w:val="24"/>
          <w:szCs w:val="24"/>
        </w:rPr>
        <w:t>2001;49(5):653–659. [</w:t>
      </w:r>
      <w:hyperlink r:id="rId119" w:history="1">
        <w:r w:rsidRPr="00155B11">
          <w:rPr>
            <w:rFonts w:ascii="Times New Roman" w:eastAsia="Times New Roman" w:hAnsi="Times New Roman" w:cs="Times New Roman"/>
            <w:color w:val="2F4A8B"/>
            <w:sz w:val="24"/>
            <w:szCs w:val="24"/>
            <w:u w:val="single"/>
          </w:rPr>
          <w:t>PubMed</w:t>
        </w:r>
      </w:hyperlink>
      <w:r w:rsidRPr="00155B11">
        <w:rPr>
          <w:rFonts w:ascii="Times New Roman" w:eastAsia="Times New Roman" w:hAnsi="Times New Roman" w:cs="Times New Roman"/>
          <w:color w:val="000000"/>
          <w:sz w:val="24"/>
          <w:szCs w:val="24"/>
        </w:rPr>
        <w:t>] [</w:t>
      </w:r>
      <w:hyperlink r:id="rId120" w:tgtFrame="_blank" w:history="1">
        <w:r w:rsidRPr="00155B11">
          <w:rPr>
            <w:rFonts w:ascii="Times New Roman" w:eastAsia="Times New Roman" w:hAnsi="Times New Roman" w:cs="Times New Roman"/>
            <w:color w:val="2F4A8B"/>
            <w:sz w:val="24"/>
            <w:szCs w:val="24"/>
            <w:u w:val="single"/>
          </w:rPr>
          <w:t>Google Scholar</w:t>
        </w:r>
      </w:hyperlink>
      <w:r w:rsidRPr="00155B11">
        <w:rPr>
          <w:rFonts w:ascii="Times New Roman" w:eastAsia="Times New Roman" w:hAnsi="Times New Roman" w:cs="Times New Roman"/>
          <w:color w:val="000000"/>
          <w:sz w:val="24"/>
          <w:szCs w:val="24"/>
        </w:rPr>
        <w:t>]</w:t>
      </w:r>
    </w:p>
    <w:p w:rsidR="00155B11" w:rsidRPr="00155B11" w:rsidRDefault="00155B11" w:rsidP="00155B11">
      <w:pPr>
        <w:shd w:val="clear" w:color="auto" w:fill="FFFFFF"/>
        <w:spacing w:line="240" w:lineRule="auto"/>
        <w:rPr>
          <w:rFonts w:ascii="Times New Roman" w:eastAsia="Times New Roman" w:hAnsi="Times New Roman" w:cs="Times New Roman"/>
          <w:color w:val="000000"/>
          <w:sz w:val="24"/>
          <w:szCs w:val="24"/>
        </w:rPr>
      </w:pPr>
      <w:r w:rsidRPr="00155B11">
        <w:rPr>
          <w:rFonts w:ascii="Times New Roman" w:eastAsia="Times New Roman" w:hAnsi="Times New Roman" w:cs="Times New Roman"/>
          <w:color w:val="000000"/>
          <w:sz w:val="24"/>
          <w:szCs w:val="24"/>
        </w:rPr>
        <w:t>7. Levy GG, Nichols WC, Lian EC, et al. Mutations in a member of the ADAMTS gene family cause thrombotic thrombocytopenic purpura. </w:t>
      </w:r>
      <w:r w:rsidRPr="00155B11">
        <w:rPr>
          <w:rFonts w:ascii="Times New Roman" w:eastAsia="Times New Roman" w:hAnsi="Times New Roman" w:cs="Times New Roman"/>
          <w:i/>
          <w:iCs/>
          <w:color w:val="000000"/>
          <w:sz w:val="24"/>
          <w:szCs w:val="24"/>
        </w:rPr>
        <w:t>Nature. </w:t>
      </w:r>
      <w:r w:rsidRPr="00155B11">
        <w:rPr>
          <w:rFonts w:ascii="Times New Roman" w:eastAsia="Times New Roman" w:hAnsi="Times New Roman" w:cs="Times New Roman"/>
          <w:color w:val="000000"/>
          <w:sz w:val="24"/>
          <w:szCs w:val="24"/>
        </w:rPr>
        <w:t>2001;413(6855):488–494. [</w:t>
      </w:r>
      <w:hyperlink r:id="rId121" w:history="1">
        <w:r w:rsidRPr="00155B11">
          <w:rPr>
            <w:rFonts w:ascii="Times New Roman" w:eastAsia="Times New Roman" w:hAnsi="Times New Roman" w:cs="Times New Roman"/>
            <w:color w:val="2F4A8B"/>
            <w:sz w:val="24"/>
            <w:szCs w:val="24"/>
            <w:u w:val="single"/>
          </w:rPr>
          <w:t>PubMed</w:t>
        </w:r>
      </w:hyperlink>
      <w:r w:rsidRPr="00155B11">
        <w:rPr>
          <w:rFonts w:ascii="Times New Roman" w:eastAsia="Times New Roman" w:hAnsi="Times New Roman" w:cs="Times New Roman"/>
          <w:color w:val="000000"/>
          <w:sz w:val="24"/>
          <w:szCs w:val="24"/>
        </w:rPr>
        <w:t>] [</w:t>
      </w:r>
      <w:hyperlink r:id="rId122" w:tgtFrame="_blank" w:history="1">
        <w:r w:rsidRPr="00155B11">
          <w:rPr>
            <w:rFonts w:ascii="Times New Roman" w:eastAsia="Times New Roman" w:hAnsi="Times New Roman" w:cs="Times New Roman"/>
            <w:color w:val="2F4A8B"/>
            <w:sz w:val="24"/>
            <w:szCs w:val="24"/>
            <w:u w:val="single"/>
          </w:rPr>
          <w:t>Google Scholar</w:t>
        </w:r>
      </w:hyperlink>
      <w:r w:rsidRPr="00155B11">
        <w:rPr>
          <w:rFonts w:ascii="Times New Roman" w:eastAsia="Times New Roman" w:hAnsi="Times New Roman" w:cs="Times New Roman"/>
          <w:color w:val="000000"/>
          <w:sz w:val="24"/>
          <w:szCs w:val="24"/>
        </w:rPr>
        <w:t>]</w:t>
      </w:r>
    </w:p>
    <w:p w:rsidR="00155B11" w:rsidRPr="00155B11" w:rsidRDefault="00155B11" w:rsidP="00155B11">
      <w:pPr>
        <w:shd w:val="clear" w:color="auto" w:fill="FFFFFF"/>
        <w:spacing w:line="240" w:lineRule="auto"/>
        <w:rPr>
          <w:rFonts w:ascii="Times New Roman" w:eastAsia="Times New Roman" w:hAnsi="Times New Roman" w:cs="Times New Roman"/>
          <w:color w:val="000000"/>
          <w:sz w:val="24"/>
          <w:szCs w:val="24"/>
        </w:rPr>
      </w:pPr>
      <w:r w:rsidRPr="00155B11">
        <w:rPr>
          <w:rFonts w:ascii="Times New Roman" w:eastAsia="Times New Roman" w:hAnsi="Times New Roman" w:cs="Times New Roman"/>
          <w:color w:val="000000"/>
          <w:sz w:val="24"/>
          <w:szCs w:val="24"/>
        </w:rPr>
        <w:t>8. Furlan M, Robles R, Galbusera M, et al. von Willebrand factor-cleaving protease in thrombotic thrombocytopenic purpura and the hemolytic-uremic syndrome. </w:t>
      </w:r>
      <w:r w:rsidRPr="00155B11">
        <w:rPr>
          <w:rFonts w:ascii="Times New Roman" w:eastAsia="Times New Roman" w:hAnsi="Times New Roman" w:cs="Times New Roman"/>
          <w:i/>
          <w:iCs/>
          <w:color w:val="000000"/>
          <w:sz w:val="24"/>
          <w:szCs w:val="24"/>
        </w:rPr>
        <w:t>N Engl J Med. </w:t>
      </w:r>
      <w:r w:rsidRPr="00155B11">
        <w:rPr>
          <w:rFonts w:ascii="Times New Roman" w:eastAsia="Times New Roman" w:hAnsi="Times New Roman" w:cs="Times New Roman"/>
          <w:color w:val="000000"/>
          <w:sz w:val="24"/>
          <w:szCs w:val="24"/>
        </w:rPr>
        <w:t>1998;339(22):1578–1584. [</w:t>
      </w:r>
      <w:hyperlink r:id="rId123" w:history="1">
        <w:r w:rsidRPr="00155B11">
          <w:rPr>
            <w:rFonts w:ascii="Times New Roman" w:eastAsia="Times New Roman" w:hAnsi="Times New Roman" w:cs="Times New Roman"/>
            <w:color w:val="2F4A8B"/>
            <w:sz w:val="24"/>
            <w:szCs w:val="24"/>
            <w:u w:val="single"/>
          </w:rPr>
          <w:t>PubMed</w:t>
        </w:r>
      </w:hyperlink>
      <w:r w:rsidRPr="00155B11">
        <w:rPr>
          <w:rFonts w:ascii="Times New Roman" w:eastAsia="Times New Roman" w:hAnsi="Times New Roman" w:cs="Times New Roman"/>
          <w:color w:val="000000"/>
          <w:sz w:val="24"/>
          <w:szCs w:val="24"/>
        </w:rPr>
        <w:t>] [</w:t>
      </w:r>
      <w:hyperlink r:id="rId124" w:tgtFrame="_blank" w:history="1">
        <w:r w:rsidRPr="00155B11">
          <w:rPr>
            <w:rFonts w:ascii="Times New Roman" w:eastAsia="Times New Roman" w:hAnsi="Times New Roman" w:cs="Times New Roman"/>
            <w:color w:val="2F4A8B"/>
            <w:sz w:val="24"/>
            <w:szCs w:val="24"/>
            <w:u w:val="single"/>
          </w:rPr>
          <w:t>Google Scholar</w:t>
        </w:r>
      </w:hyperlink>
      <w:r w:rsidRPr="00155B11">
        <w:rPr>
          <w:rFonts w:ascii="Times New Roman" w:eastAsia="Times New Roman" w:hAnsi="Times New Roman" w:cs="Times New Roman"/>
          <w:color w:val="000000"/>
          <w:sz w:val="24"/>
          <w:szCs w:val="24"/>
        </w:rPr>
        <w:t>]</w:t>
      </w:r>
    </w:p>
    <w:p w:rsidR="00155B11" w:rsidRPr="00155B11" w:rsidRDefault="00155B11" w:rsidP="00155B11">
      <w:pPr>
        <w:shd w:val="clear" w:color="auto" w:fill="FFFFFF"/>
        <w:spacing w:line="240" w:lineRule="auto"/>
        <w:rPr>
          <w:rFonts w:ascii="Times New Roman" w:eastAsia="Times New Roman" w:hAnsi="Times New Roman" w:cs="Times New Roman"/>
          <w:color w:val="000000"/>
          <w:sz w:val="24"/>
          <w:szCs w:val="24"/>
        </w:rPr>
      </w:pPr>
      <w:r w:rsidRPr="00155B11">
        <w:rPr>
          <w:rFonts w:ascii="Times New Roman" w:eastAsia="Times New Roman" w:hAnsi="Times New Roman" w:cs="Times New Roman"/>
          <w:color w:val="000000"/>
          <w:sz w:val="24"/>
          <w:szCs w:val="24"/>
        </w:rPr>
        <w:t>9. Tsai HM, Lian EC. Antibodies to von Willebrand factor-cleaving protease in acute thrombotic thrombocytopenic purpura. </w:t>
      </w:r>
      <w:r w:rsidRPr="00155B11">
        <w:rPr>
          <w:rFonts w:ascii="Times New Roman" w:eastAsia="Times New Roman" w:hAnsi="Times New Roman" w:cs="Times New Roman"/>
          <w:i/>
          <w:iCs/>
          <w:color w:val="000000"/>
          <w:sz w:val="24"/>
          <w:szCs w:val="24"/>
        </w:rPr>
        <w:t>N Engl J Med. </w:t>
      </w:r>
      <w:r w:rsidRPr="00155B11">
        <w:rPr>
          <w:rFonts w:ascii="Times New Roman" w:eastAsia="Times New Roman" w:hAnsi="Times New Roman" w:cs="Times New Roman"/>
          <w:color w:val="000000"/>
          <w:sz w:val="24"/>
          <w:szCs w:val="24"/>
        </w:rPr>
        <w:t>1998;339(22):1585–1594. [</w:t>
      </w:r>
      <w:hyperlink r:id="rId125" w:history="1">
        <w:r w:rsidRPr="00155B11">
          <w:rPr>
            <w:rFonts w:ascii="Times New Roman" w:eastAsia="Times New Roman" w:hAnsi="Times New Roman" w:cs="Times New Roman"/>
            <w:color w:val="2F4A8B"/>
            <w:sz w:val="24"/>
            <w:szCs w:val="24"/>
            <w:u w:val="single"/>
          </w:rPr>
          <w:t>PMC free article</w:t>
        </w:r>
      </w:hyperlink>
      <w:r w:rsidRPr="00155B11">
        <w:rPr>
          <w:rFonts w:ascii="Times New Roman" w:eastAsia="Times New Roman" w:hAnsi="Times New Roman" w:cs="Times New Roman"/>
          <w:color w:val="000000"/>
          <w:sz w:val="24"/>
          <w:szCs w:val="24"/>
        </w:rPr>
        <w:t>] [</w:t>
      </w:r>
      <w:hyperlink r:id="rId126" w:history="1">
        <w:r w:rsidRPr="00155B11">
          <w:rPr>
            <w:rFonts w:ascii="Times New Roman" w:eastAsia="Times New Roman" w:hAnsi="Times New Roman" w:cs="Times New Roman"/>
            <w:color w:val="2F4A8B"/>
            <w:sz w:val="24"/>
            <w:szCs w:val="24"/>
            <w:u w:val="single"/>
          </w:rPr>
          <w:t>PubMed</w:t>
        </w:r>
      </w:hyperlink>
      <w:r w:rsidRPr="00155B11">
        <w:rPr>
          <w:rFonts w:ascii="Times New Roman" w:eastAsia="Times New Roman" w:hAnsi="Times New Roman" w:cs="Times New Roman"/>
          <w:color w:val="000000"/>
          <w:sz w:val="24"/>
          <w:szCs w:val="24"/>
        </w:rPr>
        <w:t>] [</w:t>
      </w:r>
      <w:hyperlink r:id="rId127" w:tgtFrame="_blank" w:history="1">
        <w:r w:rsidRPr="00155B11">
          <w:rPr>
            <w:rFonts w:ascii="Times New Roman" w:eastAsia="Times New Roman" w:hAnsi="Times New Roman" w:cs="Times New Roman"/>
            <w:color w:val="2F4A8B"/>
            <w:sz w:val="24"/>
            <w:szCs w:val="24"/>
            <w:u w:val="single"/>
          </w:rPr>
          <w:t>Google Scholar</w:t>
        </w:r>
      </w:hyperlink>
      <w:r w:rsidRPr="00155B11">
        <w:rPr>
          <w:rFonts w:ascii="Times New Roman" w:eastAsia="Times New Roman" w:hAnsi="Times New Roman" w:cs="Times New Roman"/>
          <w:color w:val="000000"/>
          <w:sz w:val="24"/>
          <w:szCs w:val="24"/>
        </w:rPr>
        <w:t>]</w:t>
      </w:r>
    </w:p>
    <w:p w:rsidR="00155B11" w:rsidRPr="00155B11" w:rsidRDefault="00155B11" w:rsidP="00155B11">
      <w:pPr>
        <w:shd w:val="clear" w:color="auto" w:fill="FFFFFF"/>
        <w:spacing w:line="240" w:lineRule="auto"/>
        <w:rPr>
          <w:rFonts w:ascii="Times New Roman" w:eastAsia="Times New Roman" w:hAnsi="Times New Roman" w:cs="Times New Roman"/>
          <w:color w:val="000000"/>
          <w:sz w:val="24"/>
          <w:szCs w:val="24"/>
        </w:rPr>
      </w:pPr>
      <w:r w:rsidRPr="00155B11">
        <w:rPr>
          <w:rFonts w:ascii="Times New Roman" w:eastAsia="Times New Roman" w:hAnsi="Times New Roman" w:cs="Times New Roman"/>
          <w:color w:val="000000"/>
          <w:sz w:val="24"/>
          <w:szCs w:val="24"/>
        </w:rPr>
        <w:t>10. Bernardo A, Ball C, Nolasco L, Moake JF, Dong JF. Effects of inflammatory cytokines on the release and cleavage of the endothelial cell-derived ultralarge von Willebrand factor multimers under flow. </w:t>
      </w:r>
      <w:r w:rsidRPr="00155B11">
        <w:rPr>
          <w:rFonts w:ascii="Times New Roman" w:eastAsia="Times New Roman" w:hAnsi="Times New Roman" w:cs="Times New Roman"/>
          <w:i/>
          <w:iCs/>
          <w:color w:val="000000"/>
          <w:sz w:val="24"/>
          <w:szCs w:val="24"/>
        </w:rPr>
        <w:t>Blood. </w:t>
      </w:r>
      <w:r w:rsidRPr="00155B11">
        <w:rPr>
          <w:rFonts w:ascii="Times New Roman" w:eastAsia="Times New Roman" w:hAnsi="Times New Roman" w:cs="Times New Roman"/>
          <w:color w:val="000000"/>
          <w:sz w:val="24"/>
          <w:szCs w:val="24"/>
        </w:rPr>
        <w:t>2004;104(1):100–106. [</w:t>
      </w:r>
      <w:hyperlink r:id="rId128" w:history="1">
        <w:r w:rsidRPr="00155B11">
          <w:rPr>
            <w:rFonts w:ascii="Times New Roman" w:eastAsia="Times New Roman" w:hAnsi="Times New Roman" w:cs="Times New Roman"/>
            <w:color w:val="2F4A8B"/>
            <w:sz w:val="24"/>
            <w:szCs w:val="24"/>
            <w:u w:val="single"/>
          </w:rPr>
          <w:t>PubMed</w:t>
        </w:r>
      </w:hyperlink>
      <w:r w:rsidRPr="00155B11">
        <w:rPr>
          <w:rFonts w:ascii="Times New Roman" w:eastAsia="Times New Roman" w:hAnsi="Times New Roman" w:cs="Times New Roman"/>
          <w:color w:val="000000"/>
          <w:sz w:val="24"/>
          <w:szCs w:val="24"/>
        </w:rPr>
        <w:t>] [</w:t>
      </w:r>
      <w:hyperlink r:id="rId129" w:tgtFrame="_blank" w:history="1">
        <w:r w:rsidRPr="00155B11">
          <w:rPr>
            <w:rFonts w:ascii="Times New Roman" w:eastAsia="Times New Roman" w:hAnsi="Times New Roman" w:cs="Times New Roman"/>
            <w:color w:val="2F4A8B"/>
            <w:sz w:val="24"/>
            <w:szCs w:val="24"/>
            <w:u w:val="single"/>
          </w:rPr>
          <w:t>Google Scholar</w:t>
        </w:r>
      </w:hyperlink>
      <w:r w:rsidRPr="00155B11">
        <w:rPr>
          <w:rFonts w:ascii="Times New Roman" w:eastAsia="Times New Roman" w:hAnsi="Times New Roman" w:cs="Times New Roman"/>
          <w:color w:val="000000"/>
          <w:sz w:val="24"/>
          <w:szCs w:val="24"/>
        </w:rPr>
        <w:t>]</w:t>
      </w:r>
    </w:p>
    <w:p w:rsidR="00155B11" w:rsidRPr="00155B11" w:rsidRDefault="00155B11" w:rsidP="00155B11">
      <w:pPr>
        <w:shd w:val="clear" w:color="auto" w:fill="FFFFFF"/>
        <w:spacing w:line="240" w:lineRule="auto"/>
        <w:rPr>
          <w:rFonts w:ascii="Times New Roman" w:eastAsia="Times New Roman" w:hAnsi="Times New Roman" w:cs="Times New Roman"/>
          <w:color w:val="000000"/>
          <w:sz w:val="24"/>
          <w:szCs w:val="24"/>
        </w:rPr>
      </w:pPr>
      <w:r w:rsidRPr="00155B11">
        <w:rPr>
          <w:rFonts w:ascii="Times New Roman" w:eastAsia="Times New Roman" w:hAnsi="Times New Roman" w:cs="Times New Roman"/>
          <w:color w:val="000000"/>
          <w:sz w:val="24"/>
          <w:szCs w:val="24"/>
        </w:rPr>
        <w:t>11. Crawley JT, Lam JK, Rance JB, Mollica LR, O'Donnell JS, Lane DA. Proteolytic inactivation of ADAMTS13 by thrombin and plasmin. </w:t>
      </w:r>
      <w:r w:rsidRPr="00155B11">
        <w:rPr>
          <w:rFonts w:ascii="Times New Roman" w:eastAsia="Times New Roman" w:hAnsi="Times New Roman" w:cs="Times New Roman"/>
          <w:i/>
          <w:iCs/>
          <w:color w:val="000000"/>
          <w:sz w:val="24"/>
          <w:szCs w:val="24"/>
        </w:rPr>
        <w:t>Blood. </w:t>
      </w:r>
      <w:r w:rsidRPr="00155B11">
        <w:rPr>
          <w:rFonts w:ascii="Times New Roman" w:eastAsia="Times New Roman" w:hAnsi="Times New Roman" w:cs="Times New Roman"/>
          <w:color w:val="000000"/>
          <w:sz w:val="24"/>
          <w:szCs w:val="24"/>
        </w:rPr>
        <w:t>2005;105(3):1085–1093. [</w:t>
      </w:r>
      <w:hyperlink r:id="rId130" w:history="1">
        <w:r w:rsidRPr="00155B11">
          <w:rPr>
            <w:rFonts w:ascii="Times New Roman" w:eastAsia="Times New Roman" w:hAnsi="Times New Roman" w:cs="Times New Roman"/>
            <w:color w:val="2F4A8B"/>
            <w:sz w:val="24"/>
            <w:szCs w:val="24"/>
            <w:u w:val="single"/>
          </w:rPr>
          <w:t>PubMed</w:t>
        </w:r>
      </w:hyperlink>
      <w:r w:rsidRPr="00155B11">
        <w:rPr>
          <w:rFonts w:ascii="Times New Roman" w:eastAsia="Times New Roman" w:hAnsi="Times New Roman" w:cs="Times New Roman"/>
          <w:color w:val="000000"/>
          <w:sz w:val="24"/>
          <w:szCs w:val="24"/>
        </w:rPr>
        <w:t>] [</w:t>
      </w:r>
      <w:hyperlink r:id="rId131" w:tgtFrame="_blank" w:history="1">
        <w:r w:rsidRPr="00155B11">
          <w:rPr>
            <w:rFonts w:ascii="Times New Roman" w:eastAsia="Times New Roman" w:hAnsi="Times New Roman" w:cs="Times New Roman"/>
            <w:color w:val="2F4A8B"/>
            <w:sz w:val="24"/>
            <w:szCs w:val="24"/>
            <w:u w:val="single"/>
          </w:rPr>
          <w:t>Google Scholar</w:t>
        </w:r>
      </w:hyperlink>
      <w:r w:rsidRPr="00155B11">
        <w:rPr>
          <w:rFonts w:ascii="Times New Roman" w:eastAsia="Times New Roman" w:hAnsi="Times New Roman" w:cs="Times New Roman"/>
          <w:color w:val="000000"/>
          <w:sz w:val="24"/>
          <w:szCs w:val="24"/>
        </w:rPr>
        <w:t>]</w:t>
      </w:r>
    </w:p>
    <w:p w:rsidR="00155B11" w:rsidRPr="00155B11" w:rsidRDefault="00155B11" w:rsidP="00155B11">
      <w:pPr>
        <w:shd w:val="clear" w:color="auto" w:fill="FFFFFF"/>
        <w:spacing w:line="240" w:lineRule="auto"/>
        <w:rPr>
          <w:rFonts w:ascii="Times New Roman" w:eastAsia="Times New Roman" w:hAnsi="Times New Roman" w:cs="Times New Roman"/>
          <w:color w:val="000000"/>
          <w:sz w:val="24"/>
          <w:szCs w:val="24"/>
        </w:rPr>
      </w:pPr>
      <w:r w:rsidRPr="00155B11">
        <w:rPr>
          <w:rFonts w:ascii="Times New Roman" w:eastAsia="Times New Roman" w:hAnsi="Times New Roman" w:cs="Times New Roman"/>
          <w:color w:val="000000"/>
          <w:sz w:val="24"/>
          <w:szCs w:val="24"/>
        </w:rPr>
        <w:t>12. Studt JD, Hovinga JA, Antoine G, et al. Fatal congenital thrombotic thrombocytopenic purpura with apparent ADAMTS13 inhibitor: in vitro inhibition of ADAMTS13 activity by hemoglobin. </w:t>
      </w:r>
      <w:r w:rsidRPr="00155B11">
        <w:rPr>
          <w:rFonts w:ascii="Times New Roman" w:eastAsia="Times New Roman" w:hAnsi="Times New Roman" w:cs="Times New Roman"/>
          <w:i/>
          <w:iCs/>
          <w:color w:val="000000"/>
          <w:sz w:val="24"/>
          <w:szCs w:val="24"/>
        </w:rPr>
        <w:t>Blood. </w:t>
      </w:r>
      <w:r w:rsidRPr="00155B11">
        <w:rPr>
          <w:rFonts w:ascii="Times New Roman" w:eastAsia="Times New Roman" w:hAnsi="Times New Roman" w:cs="Times New Roman"/>
          <w:color w:val="000000"/>
          <w:sz w:val="24"/>
          <w:szCs w:val="24"/>
        </w:rPr>
        <w:t>2005;105(2):542–544. [</w:t>
      </w:r>
      <w:hyperlink r:id="rId132" w:history="1">
        <w:r w:rsidRPr="00155B11">
          <w:rPr>
            <w:rFonts w:ascii="Times New Roman" w:eastAsia="Times New Roman" w:hAnsi="Times New Roman" w:cs="Times New Roman"/>
            <w:color w:val="2F4A8B"/>
            <w:sz w:val="24"/>
            <w:szCs w:val="24"/>
            <w:u w:val="single"/>
          </w:rPr>
          <w:t>PubMed</w:t>
        </w:r>
      </w:hyperlink>
      <w:r w:rsidRPr="00155B11">
        <w:rPr>
          <w:rFonts w:ascii="Times New Roman" w:eastAsia="Times New Roman" w:hAnsi="Times New Roman" w:cs="Times New Roman"/>
          <w:color w:val="000000"/>
          <w:sz w:val="24"/>
          <w:szCs w:val="24"/>
        </w:rPr>
        <w:t>] [</w:t>
      </w:r>
      <w:hyperlink r:id="rId133" w:tgtFrame="_blank" w:history="1">
        <w:r w:rsidRPr="00155B11">
          <w:rPr>
            <w:rFonts w:ascii="Times New Roman" w:eastAsia="Times New Roman" w:hAnsi="Times New Roman" w:cs="Times New Roman"/>
            <w:color w:val="2F4A8B"/>
            <w:sz w:val="24"/>
            <w:szCs w:val="24"/>
            <w:u w:val="single"/>
          </w:rPr>
          <w:t>Google Scholar</w:t>
        </w:r>
      </w:hyperlink>
      <w:r w:rsidRPr="00155B11">
        <w:rPr>
          <w:rFonts w:ascii="Times New Roman" w:eastAsia="Times New Roman" w:hAnsi="Times New Roman" w:cs="Times New Roman"/>
          <w:color w:val="000000"/>
          <w:sz w:val="24"/>
          <w:szCs w:val="24"/>
        </w:rPr>
        <w:t>]</w:t>
      </w:r>
    </w:p>
    <w:p w:rsidR="00155B11" w:rsidRPr="00155B11" w:rsidRDefault="00155B11" w:rsidP="00155B11">
      <w:pPr>
        <w:shd w:val="clear" w:color="auto" w:fill="FFFFFF"/>
        <w:spacing w:line="240" w:lineRule="auto"/>
        <w:rPr>
          <w:rFonts w:ascii="Times New Roman" w:eastAsia="Times New Roman" w:hAnsi="Times New Roman" w:cs="Times New Roman"/>
          <w:color w:val="000000"/>
          <w:sz w:val="24"/>
          <w:szCs w:val="24"/>
        </w:rPr>
      </w:pPr>
      <w:r w:rsidRPr="00155B11">
        <w:rPr>
          <w:rFonts w:ascii="Times New Roman" w:eastAsia="Times New Roman" w:hAnsi="Times New Roman" w:cs="Times New Roman"/>
          <w:color w:val="000000"/>
          <w:sz w:val="24"/>
          <w:szCs w:val="24"/>
        </w:rPr>
        <w:t>13. Nolasco LH, Turner NA, Bernardo A, et al. Hemolytic uremic syndrome-associated Shiga toxins promote endothelial-cell secretion and impair ADAMTS13 cleavage of unusually large von Willebrand factor multimers. </w:t>
      </w:r>
      <w:r w:rsidRPr="00155B11">
        <w:rPr>
          <w:rFonts w:ascii="Times New Roman" w:eastAsia="Times New Roman" w:hAnsi="Times New Roman" w:cs="Times New Roman"/>
          <w:i/>
          <w:iCs/>
          <w:color w:val="000000"/>
          <w:sz w:val="24"/>
          <w:szCs w:val="24"/>
        </w:rPr>
        <w:t>Blood. </w:t>
      </w:r>
      <w:r w:rsidRPr="00155B11">
        <w:rPr>
          <w:rFonts w:ascii="Times New Roman" w:eastAsia="Times New Roman" w:hAnsi="Times New Roman" w:cs="Times New Roman"/>
          <w:color w:val="000000"/>
          <w:sz w:val="24"/>
          <w:szCs w:val="24"/>
        </w:rPr>
        <w:t>2005;106(13):4199–4209. [</w:t>
      </w:r>
      <w:hyperlink r:id="rId134" w:history="1">
        <w:r w:rsidRPr="00155B11">
          <w:rPr>
            <w:rFonts w:ascii="Times New Roman" w:eastAsia="Times New Roman" w:hAnsi="Times New Roman" w:cs="Times New Roman"/>
            <w:color w:val="2F4A8B"/>
            <w:sz w:val="24"/>
            <w:szCs w:val="24"/>
            <w:u w:val="single"/>
          </w:rPr>
          <w:t>PMC free article</w:t>
        </w:r>
      </w:hyperlink>
      <w:r w:rsidRPr="00155B11">
        <w:rPr>
          <w:rFonts w:ascii="Times New Roman" w:eastAsia="Times New Roman" w:hAnsi="Times New Roman" w:cs="Times New Roman"/>
          <w:color w:val="000000"/>
          <w:sz w:val="24"/>
          <w:szCs w:val="24"/>
        </w:rPr>
        <w:t>] [</w:t>
      </w:r>
      <w:hyperlink r:id="rId135" w:history="1">
        <w:r w:rsidRPr="00155B11">
          <w:rPr>
            <w:rFonts w:ascii="Times New Roman" w:eastAsia="Times New Roman" w:hAnsi="Times New Roman" w:cs="Times New Roman"/>
            <w:color w:val="2F4A8B"/>
            <w:sz w:val="24"/>
            <w:szCs w:val="24"/>
            <w:u w:val="single"/>
          </w:rPr>
          <w:t>PubMed</w:t>
        </w:r>
      </w:hyperlink>
      <w:r w:rsidRPr="00155B11">
        <w:rPr>
          <w:rFonts w:ascii="Times New Roman" w:eastAsia="Times New Roman" w:hAnsi="Times New Roman" w:cs="Times New Roman"/>
          <w:color w:val="000000"/>
          <w:sz w:val="24"/>
          <w:szCs w:val="24"/>
        </w:rPr>
        <w:t>] [</w:t>
      </w:r>
      <w:hyperlink r:id="rId136" w:tgtFrame="_blank" w:history="1">
        <w:r w:rsidRPr="00155B11">
          <w:rPr>
            <w:rFonts w:ascii="Times New Roman" w:eastAsia="Times New Roman" w:hAnsi="Times New Roman" w:cs="Times New Roman"/>
            <w:color w:val="2F4A8B"/>
            <w:sz w:val="24"/>
            <w:szCs w:val="24"/>
            <w:u w:val="single"/>
          </w:rPr>
          <w:t>Google Scholar</w:t>
        </w:r>
      </w:hyperlink>
      <w:r w:rsidRPr="00155B11">
        <w:rPr>
          <w:rFonts w:ascii="Times New Roman" w:eastAsia="Times New Roman" w:hAnsi="Times New Roman" w:cs="Times New Roman"/>
          <w:color w:val="000000"/>
          <w:sz w:val="24"/>
          <w:szCs w:val="24"/>
        </w:rPr>
        <w:t>]</w:t>
      </w:r>
    </w:p>
    <w:p w:rsidR="00155B11" w:rsidRPr="00155B11" w:rsidRDefault="00155B11" w:rsidP="00155B11">
      <w:pPr>
        <w:shd w:val="clear" w:color="auto" w:fill="FFFFFF"/>
        <w:spacing w:line="240" w:lineRule="auto"/>
        <w:rPr>
          <w:rFonts w:ascii="Times New Roman" w:eastAsia="Times New Roman" w:hAnsi="Times New Roman" w:cs="Times New Roman"/>
          <w:color w:val="000000"/>
          <w:sz w:val="24"/>
          <w:szCs w:val="24"/>
        </w:rPr>
      </w:pPr>
      <w:r w:rsidRPr="00155B11">
        <w:rPr>
          <w:rFonts w:ascii="Times New Roman" w:eastAsia="Times New Roman" w:hAnsi="Times New Roman" w:cs="Times New Roman"/>
          <w:color w:val="000000"/>
          <w:sz w:val="24"/>
          <w:szCs w:val="24"/>
        </w:rPr>
        <w:t>14. Ono T, Mimuro J, Madoiwa S, et al. Severe secondary deficiency of von Willebrand factor-cleaving protease (ADAMTS13) in patients with sepsis-induced disseminated intravascular coagulation: its correlation with development of renal failure. </w:t>
      </w:r>
      <w:r w:rsidRPr="00155B11">
        <w:rPr>
          <w:rFonts w:ascii="Times New Roman" w:eastAsia="Times New Roman" w:hAnsi="Times New Roman" w:cs="Times New Roman"/>
          <w:i/>
          <w:iCs/>
          <w:color w:val="000000"/>
          <w:sz w:val="24"/>
          <w:szCs w:val="24"/>
        </w:rPr>
        <w:t>Blood. </w:t>
      </w:r>
      <w:r w:rsidRPr="00155B11">
        <w:rPr>
          <w:rFonts w:ascii="Times New Roman" w:eastAsia="Times New Roman" w:hAnsi="Times New Roman" w:cs="Times New Roman"/>
          <w:color w:val="000000"/>
          <w:sz w:val="24"/>
          <w:szCs w:val="24"/>
        </w:rPr>
        <w:t>2006;107(2):528–534. [</w:t>
      </w:r>
      <w:hyperlink r:id="rId137" w:history="1">
        <w:r w:rsidRPr="00155B11">
          <w:rPr>
            <w:rFonts w:ascii="Times New Roman" w:eastAsia="Times New Roman" w:hAnsi="Times New Roman" w:cs="Times New Roman"/>
            <w:color w:val="2F4A8B"/>
            <w:sz w:val="24"/>
            <w:szCs w:val="24"/>
            <w:u w:val="single"/>
          </w:rPr>
          <w:t>PubMed</w:t>
        </w:r>
      </w:hyperlink>
      <w:r w:rsidRPr="00155B11">
        <w:rPr>
          <w:rFonts w:ascii="Times New Roman" w:eastAsia="Times New Roman" w:hAnsi="Times New Roman" w:cs="Times New Roman"/>
          <w:color w:val="000000"/>
          <w:sz w:val="24"/>
          <w:szCs w:val="24"/>
        </w:rPr>
        <w:t>] [</w:t>
      </w:r>
      <w:hyperlink r:id="rId138" w:tgtFrame="_blank" w:history="1">
        <w:r w:rsidRPr="00155B11">
          <w:rPr>
            <w:rFonts w:ascii="Times New Roman" w:eastAsia="Times New Roman" w:hAnsi="Times New Roman" w:cs="Times New Roman"/>
            <w:color w:val="2F4A8B"/>
            <w:sz w:val="24"/>
            <w:szCs w:val="24"/>
            <w:u w:val="single"/>
          </w:rPr>
          <w:t>Google Scholar</w:t>
        </w:r>
      </w:hyperlink>
      <w:r w:rsidRPr="00155B11">
        <w:rPr>
          <w:rFonts w:ascii="Times New Roman" w:eastAsia="Times New Roman" w:hAnsi="Times New Roman" w:cs="Times New Roman"/>
          <w:color w:val="000000"/>
          <w:sz w:val="24"/>
          <w:szCs w:val="24"/>
        </w:rPr>
        <w:t>]</w:t>
      </w:r>
    </w:p>
    <w:p w:rsidR="00155B11" w:rsidRPr="00155B11" w:rsidRDefault="00155B11" w:rsidP="00155B11">
      <w:pPr>
        <w:shd w:val="clear" w:color="auto" w:fill="FFFFFF"/>
        <w:spacing w:line="240" w:lineRule="auto"/>
        <w:rPr>
          <w:rFonts w:ascii="Times New Roman" w:eastAsia="Times New Roman" w:hAnsi="Times New Roman" w:cs="Times New Roman"/>
          <w:color w:val="000000"/>
          <w:sz w:val="24"/>
          <w:szCs w:val="24"/>
        </w:rPr>
      </w:pPr>
      <w:r w:rsidRPr="00155B11">
        <w:rPr>
          <w:rFonts w:ascii="Times New Roman" w:eastAsia="Times New Roman" w:hAnsi="Times New Roman" w:cs="Times New Roman"/>
          <w:color w:val="000000"/>
          <w:sz w:val="24"/>
          <w:szCs w:val="24"/>
        </w:rPr>
        <w:lastRenderedPageBreak/>
        <w:t>15. Rock GA, Shumak KH, Buskard NA, et al. Comparison of plasma exchange with plasma infusion in the treatment of thrombotic thrombocytopenic purpura. Canadian Apheresis Study Group. </w:t>
      </w:r>
      <w:r w:rsidRPr="00155B11">
        <w:rPr>
          <w:rFonts w:ascii="Times New Roman" w:eastAsia="Times New Roman" w:hAnsi="Times New Roman" w:cs="Times New Roman"/>
          <w:i/>
          <w:iCs/>
          <w:color w:val="000000"/>
          <w:sz w:val="24"/>
          <w:szCs w:val="24"/>
        </w:rPr>
        <w:t>N Engl J Med. </w:t>
      </w:r>
      <w:r w:rsidRPr="00155B11">
        <w:rPr>
          <w:rFonts w:ascii="Times New Roman" w:eastAsia="Times New Roman" w:hAnsi="Times New Roman" w:cs="Times New Roman"/>
          <w:color w:val="000000"/>
          <w:sz w:val="24"/>
          <w:szCs w:val="24"/>
        </w:rPr>
        <w:t>1991;325(6):393–397. [</w:t>
      </w:r>
      <w:hyperlink r:id="rId139" w:history="1">
        <w:r w:rsidRPr="00155B11">
          <w:rPr>
            <w:rFonts w:ascii="Times New Roman" w:eastAsia="Times New Roman" w:hAnsi="Times New Roman" w:cs="Times New Roman"/>
            <w:color w:val="2F4A8B"/>
            <w:sz w:val="24"/>
            <w:szCs w:val="24"/>
            <w:u w:val="single"/>
          </w:rPr>
          <w:t>PubMed</w:t>
        </w:r>
      </w:hyperlink>
      <w:r w:rsidRPr="00155B11">
        <w:rPr>
          <w:rFonts w:ascii="Times New Roman" w:eastAsia="Times New Roman" w:hAnsi="Times New Roman" w:cs="Times New Roman"/>
          <w:color w:val="000000"/>
          <w:sz w:val="24"/>
          <w:szCs w:val="24"/>
        </w:rPr>
        <w:t>] [</w:t>
      </w:r>
      <w:hyperlink r:id="rId140" w:tgtFrame="_blank" w:history="1">
        <w:r w:rsidRPr="00155B11">
          <w:rPr>
            <w:rFonts w:ascii="Times New Roman" w:eastAsia="Times New Roman" w:hAnsi="Times New Roman" w:cs="Times New Roman"/>
            <w:color w:val="2F4A8B"/>
            <w:sz w:val="24"/>
            <w:szCs w:val="24"/>
            <w:u w:val="single"/>
          </w:rPr>
          <w:t>Google Scholar</w:t>
        </w:r>
      </w:hyperlink>
      <w:r w:rsidRPr="00155B11">
        <w:rPr>
          <w:rFonts w:ascii="Times New Roman" w:eastAsia="Times New Roman" w:hAnsi="Times New Roman" w:cs="Times New Roman"/>
          <w:color w:val="000000"/>
          <w:sz w:val="24"/>
          <w:szCs w:val="24"/>
        </w:rPr>
        <w:t>]</w:t>
      </w:r>
    </w:p>
    <w:p w:rsidR="00155B11" w:rsidRPr="00155B11" w:rsidRDefault="00155B11" w:rsidP="00155B11">
      <w:pPr>
        <w:shd w:val="clear" w:color="auto" w:fill="FFFFFF"/>
        <w:spacing w:line="240" w:lineRule="auto"/>
        <w:rPr>
          <w:rFonts w:ascii="Times New Roman" w:eastAsia="Times New Roman" w:hAnsi="Times New Roman" w:cs="Times New Roman"/>
          <w:color w:val="000000"/>
          <w:sz w:val="24"/>
          <w:szCs w:val="24"/>
        </w:rPr>
      </w:pPr>
      <w:r w:rsidRPr="00155B11">
        <w:rPr>
          <w:rFonts w:ascii="Times New Roman" w:eastAsia="Times New Roman" w:hAnsi="Times New Roman" w:cs="Times New Roman"/>
          <w:color w:val="000000"/>
          <w:sz w:val="24"/>
          <w:szCs w:val="24"/>
        </w:rPr>
        <w:t>16. Delvaeye M, Noris M, De Vriese A, et al. Thrombomodulin mutations in atypical hemolytic-uremic syndrome. </w:t>
      </w:r>
      <w:r w:rsidRPr="00155B11">
        <w:rPr>
          <w:rFonts w:ascii="Times New Roman" w:eastAsia="Times New Roman" w:hAnsi="Times New Roman" w:cs="Times New Roman"/>
          <w:i/>
          <w:iCs/>
          <w:color w:val="000000"/>
          <w:sz w:val="24"/>
          <w:szCs w:val="24"/>
        </w:rPr>
        <w:t>N Engl J Med. </w:t>
      </w:r>
      <w:r w:rsidRPr="00155B11">
        <w:rPr>
          <w:rFonts w:ascii="Times New Roman" w:eastAsia="Times New Roman" w:hAnsi="Times New Roman" w:cs="Times New Roman"/>
          <w:color w:val="000000"/>
          <w:sz w:val="24"/>
          <w:szCs w:val="24"/>
        </w:rPr>
        <w:t>2009;361(4):345–357. [</w:t>
      </w:r>
      <w:hyperlink r:id="rId141" w:history="1">
        <w:r w:rsidRPr="00155B11">
          <w:rPr>
            <w:rFonts w:ascii="Times New Roman" w:eastAsia="Times New Roman" w:hAnsi="Times New Roman" w:cs="Times New Roman"/>
            <w:color w:val="2F4A8B"/>
            <w:sz w:val="24"/>
            <w:szCs w:val="24"/>
            <w:u w:val="single"/>
          </w:rPr>
          <w:t>PMC free article</w:t>
        </w:r>
      </w:hyperlink>
      <w:r w:rsidRPr="00155B11">
        <w:rPr>
          <w:rFonts w:ascii="Times New Roman" w:eastAsia="Times New Roman" w:hAnsi="Times New Roman" w:cs="Times New Roman"/>
          <w:color w:val="000000"/>
          <w:sz w:val="24"/>
          <w:szCs w:val="24"/>
        </w:rPr>
        <w:t>] [</w:t>
      </w:r>
      <w:hyperlink r:id="rId142" w:history="1">
        <w:r w:rsidRPr="00155B11">
          <w:rPr>
            <w:rFonts w:ascii="Times New Roman" w:eastAsia="Times New Roman" w:hAnsi="Times New Roman" w:cs="Times New Roman"/>
            <w:color w:val="2F4A8B"/>
            <w:sz w:val="24"/>
            <w:szCs w:val="24"/>
            <w:u w:val="single"/>
          </w:rPr>
          <w:t>PubMed</w:t>
        </w:r>
      </w:hyperlink>
      <w:r w:rsidRPr="00155B11">
        <w:rPr>
          <w:rFonts w:ascii="Times New Roman" w:eastAsia="Times New Roman" w:hAnsi="Times New Roman" w:cs="Times New Roman"/>
          <w:color w:val="000000"/>
          <w:sz w:val="24"/>
          <w:szCs w:val="24"/>
        </w:rPr>
        <w:t>] [</w:t>
      </w:r>
      <w:hyperlink r:id="rId143" w:tgtFrame="_blank" w:history="1">
        <w:r w:rsidRPr="00155B11">
          <w:rPr>
            <w:rFonts w:ascii="Times New Roman" w:eastAsia="Times New Roman" w:hAnsi="Times New Roman" w:cs="Times New Roman"/>
            <w:color w:val="2F4A8B"/>
            <w:sz w:val="24"/>
            <w:szCs w:val="24"/>
            <w:u w:val="single"/>
          </w:rPr>
          <w:t>Google Scholar</w:t>
        </w:r>
      </w:hyperlink>
      <w:r w:rsidRPr="00155B11">
        <w:rPr>
          <w:rFonts w:ascii="Times New Roman" w:eastAsia="Times New Roman" w:hAnsi="Times New Roman" w:cs="Times New Roman"/>
          <w:color w:val="000000"/>
          <w:sz w:val="24"/>
          <w:szCs w:val="24"/>
        </w:rPr>
        <w:t>]</w:t>
      </w:r>
    </w:p>
    <w:p w:rsidR="00155B11" w:rsidRPr="00155B11" w:rsidRDefault="00155B11" w:rsidP="00155B11">
      <w:pPr>
        <w:shd w:val="clear" w:color="auto" w:fill="FFFFFF"/>
        <w:spacing w:line="240" w:lineRule="auto"/>
        <w:rPr>
          <w:rFonts w:ascii="Times New Roman" w:eastAsia="Times New Roman" w:hAnsi="Times New Roman" w:cs="Times New Roman"/>
          <w:color w:val="000000"/>
          <w:sz w:val="24"/>
          <w:szCs w:val="24"/>
        </w:rPr>
      </w:pPr>
      <w:r w:rsidRPr="00155B11">
        <w:rPr>
          <w:rFonts w:ascii="Times New Roman" w:eastAsia="Times New Roman" w:hAnsi="Times New Roman" w:cs="Times New Roman"/>
          <w:color w:val="000000"/>
          <w:sz w:val="24"/>
          <w:szCs w:val="24"/>
        </w:rPr>
        <w:t>17. Noris M, Remuzzi G. Atypical hemolytic-uremic syndrome. </w:t>
      </w:r>
      <w:r w:rsidRPr="00155B11">
        <w:rPr>
          <w:rFonts w:ascii="Times New Roman" w:eastAsia="Times New Roman" w:hAnsi="Times New Roman" w:cs="Times New Roman"/>
          <w:i/>
          <w:iCs/>
          <w:color w:val="000000"/>
          <w:sz w:val="24"/>
          <w:szCs w:val="24"/>
        </w:rPr>
        <w:t>N Engl J Med. </w:t>
      </w:r>
      <w:r w:rsidRPr="00155B11">
        <w:rPr>
          <w:rFonts w:ascii="Times New Roman" w:eastAsia="Times New Roman" w:hAnsi="Times New Roman" w:cs="Times New Roman"/>
          <w:color w:val="000000"/>
          <w:sz w:val="24"/>
          <w:szCs w:val="24"/>
        </w:rPr>
        <w:t>2009;361(17):1676–1687. [</w:t>
      </w:r>
      <w:hyperlink r:id="rId144" w:history="1">
        <w:r w:rsidRPr="00155B11">
          <w:rPr>
            <w:rFonts w:ascii="Times New Roman" w:eastAsia="Times New Roman" w:hAnsi="Times New Roman" w:cs="Times New Roman"/>
            <w:color w:val="2F4A8B"/>
            <w:sz w:val="24"/>
            <w:szCs w:val="24"/>
            <w:u w:val="single"/>
          </w:rPr>
          <w:t>PubMed</w:t>
        </w:r>
      </w:hyperlink>
      <w:r w:rsidRPr="00155B11">
        <w:rPr>
          <w:rFonts w:ascii="Times New Roman" w:eastAsia="Times New Roman" w:hAnsi="Times New Roman" w:cs="Times New Roman"/>
          <w:color w:val="000000"/>
          <w:sz w:val="24"/>
          <w:szCs w:val="24"/>
        </w:rPr>
        <w:t>] [</w:t>
      </w:r>
      <w:hyperlink r:id="rId145" w:tgtFrame="_blank" w:history="1">
        <w:r w:rsidRPr="00155B11">
          <w:rPr>
            <w:rFonts w:ascii="Times New Roman" w:eastAsia="Times New Roman" w:hAnsi="Times New Roman" w:cs="Times New Roman"/>
            <w:color w:val="2F4A8B"/>
            <w:sz w:val="24"/>
            <w:szCs w:val="24"/>
            <w:u w:val="single"/>
          </w:rPr>
          <w:t>Google Scholar</w:t>
        </w:r>
      </w:hyperlink>
      <w:r w:rsidRPr="00155B11">
        <w:rPr>
          <w:rFonts w:ascii="Times New Roman" w:eastAsia="Times New Roman" w:hAnsi="Times New Roman" w:cs="Times New Roman"/>
          <w:color w:val="000000"/>
          <w:sz w:val="24"/>
          <w:szCs w:val="24"/>
        </w:rPr>
        <w:t>]</w:t>
      </w:r>
    </w:p>
    <w:p w:rsidR="00155B11" w:rsidRPr="00155B11" w:rsidRDefault="00155B11" w:rsidP="00155B11">
      <w:pPr>
        <w:shd w:val="clear" w:color="auto" w:fill="FFFFFF"/>
        <w:spacing w:line="240" w:lineRule="auto"/>
        <w:rPr>
          <w:rFonts w:ascii="Times New Roman" w:eastAsia="Times New Roman" w:hAnsi="Times New Roman" w:cs="Times New Roman"/>
          <w:color w:val="000000"/>
          <w:sz w:val="24"/>
          <w:szCs w:val="24"/>
        </w:rPr>
      </w:pPr>
      <w:r w:rsidRPr="00155B11">
        <w:rPr>
          <w:rFonts w:ascii="Times New Roman" w:eastAsia="Times New Roman" w:hAnsi="Times New Roman" w:cs="Times New Roman"/>
          <w:color w:val="000000"/>
          <w:sz w:val="24"/>
          <w:szCs w:val="24"/>
        </w:rPr>
        <w:t>18. Kwon T, Dragon-Durey MA, Macher MA, et al. Successful pre-transplant management of a patient with anti-factor H autoantibodies-associated haemolytic uraemic syndrome. </w:t>
      </w:r>
      <w:r w:rsidRPr="00155B11">
        <w:rPr>
          <w:rFonts w:ascii="Times New Roman" w:eastAsia="Times New Roman" w:hAnsi="Times New Roman" w:cs="Times New Roman"/>
          <w:i/>
          <w:iCs/>
          <w:color w:val="000000"/>
          <w:sz w:val="24"/>
          <w:szCs w:val="24"/>
        </w:rPr>
        <w:t>Nephrol Dial Transplant. </w:t>
      </w:r>
      <w:r w:rsidRPr="00155B11">
        <w:rPr>
          <w:rFonts w:ascii="Times New Roman" w:eastAsia="Times New Roman" w:hAnsi="Times New Roman" w:cs="Times New Roman"/>
          <w:color w:val="000000"/>
          <w:sz w:val="24"/>
          <w:szCs w:val="24"/>
        </w:rPr>
        <w:t>2008;23(6):2088–2090. [</w:t>
      </w:r>
      <w:hyperlink r:id="rId146" w:history="1">
        <w:r w:rsidRPr="00155B11">
          <w:rPr>
            <w:rFonts w:ascii="Times New Roman" w:eastAsia="Times New Roman" w:hAnsi="Times New Roman" w:cs="Times New Roman"/>
            <w:color w:val="2F4A8B"/>
            <w:sz w:val="24"/>
            <w:szCs w:val="24"/>
            <w:u w:val="single"/>
          </w:rPr>
          <w:t>PubMed</w:t>
        </w:r>
      </w:hyperlink>
      <w:r w:rsidRPr="00155B11">
        <w:rPr>
          <w:rFonts w:ascii="Times New Roman" w:eastAsia="Times New Roman" w:hAnsi="Times New Roman" w:cs="Times New Roman"/>
          <w:color w:val="000000"/>
          <w:sz w:val="24"/>
          <w:szCs w:val="24"/>
        </w:rPr>
        <w:t>] [</w:t>
      </w:r>
      <w:hyperlink r:id="rId147" w:tgtFrame="_blank" w:history="1">
        <w:r w:rsidRPr="00155B11">
          <w:rPr>
            <w:rFonts w:ascii="Times New Roman" w:eastAsia="Times New Roman" w:hAnsi="Times New Roman" w:cs="Times New Roman"/>
            <w:color w:val="2F4A8B"/>
            <w:sz w:val="24"/>
            <w:szCs w:val="24"/>
            <w:u w:val="single"/>
          </w:rPr>
          <w:t>Google Scholar</w:t>
        </w:r>
      </w:hyperlink>
      <w:r w:rsidRPr="00155B11">
        <w:rPr>
          <w:rFonts w:ascii="Times New Roman" w:eastAsia="Times New Roman" w:hAnsi="Times New Roman" w:cs="Times New Roman"/>
          <w:color w:val="000000"/>
          <w:sz w:val="24"/>
          <w:szCs w:val="24"/>
        </w:rPr>
        <w:t>]</w:t>
      </w:r>
    </w:p>
    <w:p w:rsidR="00155B11" w:rsidRPr="00155B11" w:rsidRDefault="00155B11" w:rsidP="00155B11">
      <w:pPr>
        <w:shd w:val="clear" w:color="auto" w:fill="FFFFFF"/>
        <w:spacing w:line="240" w:lineRule="auto"/>
        <w:rPr>
          <w:rFonts w:ascii="Times New Roman" w:eastAsia="Times New Roman" w:hAnsi="Times New Roman" w:cs="Times New Roman"/>
          <w:color w:val="000000"/>
          <w:sz w:val="24"/>
          <w:szCs w:val="24"/>
        </w:rPr>
      </w:pPr>
      <w:r w:rsidRPr="00155B11">
        <w:rPr>
          <w:rFonts w:ascii="Times New Roman" w:eastAsia="Times New Roman" w:hAnsi="Times New Roman" w:cs="Times New Roman"/>
          <w:color w:val="000000"/>
          <w:sz w:val="24"/>
          <w:szCs w:val="24"/>
        </w:rPr>
        <w:t>19. Levi M, Ten Cate H. Disseminated intravascular coagulation. </w:t>
      </w:r>
      <w:r w:rsidRPr="00155B11">
        <w:rPr>
          <w:rFonts w:ascii="Times New Roman" w:eastAsia="Times New Roman" w:hAnsi="Times New Roman" w:cs="Times New Roman"/>
          <w:i/>
          <w:iCs/>
          <w:color w:val="000000"/>
          <w:sz w:val="24"/>
          <w:szCs w:val="24"/>
        </w:rPr>
        <w:t>N Engl J Med. </w:t>
      </w:r>
      <w:r w:rsidRPr="00155B11">
        <w:rPr>
          <w:rFonts w:ascii="Times New Roman" w:eastAsia="Times New Roman" w:hAnsi="Times New Roman" w:cs="Times New Roman"/>
          <w:color w:val="000000"/>
          <w:sz w:val="24"/>
          <w:szCs w:val="24"/>
        </w:rPr>
        <w:t>1999;341(8):586–592. [</w:t>
      </w:r>
      <w:hyperlink r:id="rId148" w:history="1">
        <w:r w:rsidRPr="00155B11">
          <w:rPr>
            <w:rFonts w:ascii="Times New Roman" w:eastAsia="Times New Roman" w:hAnsi="Times New Roman" w:cs="Times New Roman"/>
            <w:color w:val="2F4A8B"/>
            <w:sz w:val="24"/>
            <w:szCs w:val="24"/>
            <w:u w:val="single"/>
          </w:rPr>
          <w:t>PubMed</w:t>
        </w:r>
      </w:hyperlink>
      <w:r w:rsidRPr="00155B11">
        <w:rPr>
          <w:rFonts w:ascii="Times New Roman" w:eastAsia="Times New Roman" w:hAnsi="Times New Roman" w:cs="Times New Roman"/>
          <w:color w:val="000000"/>
          <w:sz w:val="24"/>
          <w:szCs w:val="24"/>
        </w:rPr>
        <w:t>] [</w:t>
      </w:r>
      <w:hyperlink r:id="rId149" w:tgtFrame="_blank" w:history="1">
        <w:r w:rsidRPr="00155B11">
          <w:rPr>
            <w:rFonts w:ascii="Times New Roman" w:eastAsia="Times New Roman" w:hAnsi="Times New Roman" w:cs="Times New Roman"/>
            <w:color w:val="2F4A8B"/>
            <w:sz w:val="24"/>
            <w:szCs w:val="24"/>
            <w:u w:val="single"/>
          </w:rPr>
          <w:t>Google Scholar</w:t>
        </w:r>
      </w:hyperlink>
      <w:r w:rsidRPr="00155B11">
        <w:rPr>
          <w:rFonts w:ascii="Times New Roman" w:eastAsia="Times New Roman" w:hAnsi="Times New Roman" w:cs="Times New Roman"/>
          <w:color w:val="000000"/>
          <w:sz w:val="24"/>
          <w:szCs w:val="24"/>
        </w:rPr>
        <w:t>]</w:t>
      </w:r>
    </w:p>
    <w:p w:rsidR="00155B11" w:rsidRPr="00155B11" w:rsidRDefault="00155B11" w:rsidP="00155B11">
      <w:pPr>
        <w:shd w:val="clear" w:color="auto" w:fill="FFFFFF"/>
        <w:spacing w:line="240" w:lineRule="auto"/>
        <w:rPr>
          <w:rFonts w:ascii="Times New Roman" w:eastAsia="Times New Roman" w:hAnsi="Times New Roman" w:cs="Times New Roman"/>
          <w:color w:val="000000"/>
          <w:sz w:val="24"/>
          <w:szCs w:val="24"/>
        </w:rPr>
      </w:pPr>
      <w:r w:rsidRPr="00155B11">
        <w:rPr>
          <w:rFonts w:ascii="Times New Roman" w:eastAsia="Times New Roman" w:hAnsi="Times New Roman" w:cs="Times New Roman"/>
          <w:color w:val="000000"/>
          <w:sz w:val="24"/>
          <w:szCs w:val="24"/>
        </w:rPr>
        <w:t>20. Levi M. Current understanding of disseminated intravascular coagulation. </w:t>
      </w:r>
      <w:r w:rsidRPr="00155B11">
        <w:rPr>
          <w:rFonts w:ascii="Times New Roman" w:eastAsia="Times New Roman" w:hAnsi="Times New Roman" w:cs="Times New Roman"/>
          <w:i/>
          <w:iCs/>
          <w:color w:val="000000"/>
          <w:sz w:val="24"/>
          <w:szCs w:val="24"/>
        </w:rPr>
        <w:t>Br J Haematol. </w:t>
      </w:r>
      <w:r w:rsidRPr="00155B11">
        <w:rPr>
          <w:rFonts w:ascii="Times New Roman" w:eastAsia="Times New Roman" w:hAnsi="Times New Roman" w:cs="Times New Roman"/>
          <w:color w:val="000000"/>
          <w:sz w:val="24"/>
          <w:szCs w:val="24"/>
        </w:rPr>
        <w:t>2004;124(5):567–576. [</w:t>
      </w:r>
      <w:hyperlink r:id="rId150" w:history="1">
        <w:r w:rsidRPr="00155B11">
          <w:rPr>
            <w:rFonts w:ascii="Times New Roman" w:eastAsia="Times New Roman" w:hAnsi="Times New Roman" w:cs="Times New Roman"/>
            <w:color w:val="2F4A8B"/>
            <w:sz w:val="24"/>
            <w:szCs w:val="24"/>
            <w:u w:val="single"/>
          </w:rPr>
          <w:t>PubMed</w:t>
        </w:r>
      </w:hyperlink>
      <w:r w:rsidRPr="00155B11">
        <w:rPr>
          <w:rFonts w:ascii="Times New Roman" w:eastAsia="Times New Roman" w:hAnsi="Times New Roman" w:cs="Times New Roman"/>
          <w:color w:val="000000"/>
          <w:sz w:val="24"/>
          <w:szCs w:val="24"/>
        </w:rPr>
        <w:t>] [</w:t>
      </w:r>
      <w:hyperlink r:id="rId151" w:tgtFrame="_blank" w:history="1">
        <w:r w:rsidRPr="00155B11">
          <w:rPr>
            <w:rFonts w:ascii="Times New Roman" w:eastAsia="Times New Roman" w:hAnsi="Times New Roman" w:cs="Times New Roman"/>
            <w:color w:val="2F4A8B"/>
            <w:sz w:val="24"/>
            <w:szCs w:val="24"/>
            <w:u w:val="single"/>
          </w:rPr>
          <w:t>Google Scholar</w:t>
        </w:r>
      </w:hyperlink>
      <w:r w:rsidRPr="00155B11">
        <w:rPr>
          <w:rFonts w:ascii="Times New Roman" w:eastAsia="Times New Roman" w:hAnsi="Times New Roman" w:cs="Times New Roman"/>
          <w:color w:val="000000"/>
          <w:sz w:val="24"/>
          <w:szCs w:val="24"/>
        </w:rPr>
        <w:t>]</w:t>
      </w:r>
    </w:p>
    <w:p w:rsidR="00155B11" w:rsidRPr="00155B11" w:rsidRDefault="00155B11" w:rsidP="00155B11">
      <w:pPr>
        <w:shd w:val="clear" w:color="auto" w:fill="FFFFFF"/>
        <w:spacing w:line="240" w:lineRule="auto"/>
        <w:rPr>
          <w:rFonts w:ascii="Times New Roman" w:eastAsia="Times New Roman" w:hAnsi="Times New Roman" w:cs="Times New Roman"/>
          <w:color w:val="000000"/>
          <w:sz w:val="24"/>
          <w:szCs w:val="24"/>
        </w:rPr>
      </w:pPr>
      <w:r w:rsidRPr="00155B11">
        <w:rPr>
          <w:rFonts w:ascii="Times New Roman" w:eastAsia="Times New Roman" w:hAnsi="Times New Roman" w:cs="Times New Roman"/>
          <w:color w:val="000000"/>
          <w:sz w:val="24"/>
          <w:szCs w:val="24"/>
        </w:rPr>
        <w:t>21. Churchwell KB, McManus ML, Kent P, et al. Intensive blood and plasma exchange for treatment of coagulopathy in meningococcemia. </w:t>
      </w:r>
      <w:r w:rsidRPr="00155B11">
        <w:rPr>
          <w:rFonts w:ascii="Times New Roman" w:eastAsia="Times New Roman" w:hAnsi="Times New Roman" w:cs="Times New Roman"/>
          <w:i/>
          <w:iCs/>
          <w:color w:val="000000"/>
          <w:sz w:val="24"/>
          <w:szCs w:val="24"/>
        </w:rPr>
        <w:t>J Clin Apher. </w:t>
      </w:r>
      <w:r w:rsidRPr="00155B11">
        <w:rPr>
          <w:rFonts w:ascii="Times New Roman" w:eastAsia="Times New Roman" w:hAnsi="Times New Roman" w:cs="Times New Roman"/>
          <w:color w:val="000000"/>
          <w:sz w:val="24"/>
          <w:szCs w:val="24"/>
        </w:rPr>
        <w:t>1995;10(4):171–177. [</w:t>
      </w:r>
      <w:hyperlink r:id="rId152" w:history="1">
        <w:r w:rsidRPr="00155B11">
          <w:rPr>
            <w:rFonts w:ascii="Times New Roman" w:eastAsia="Times New Roman" w:hAnsi="Times New Roman" w:cs="Times New Roman"/>
            <w:color w:val="2F4A8B"/>
            <w:sz w:val="24"/>
            <w:szCs w:val="24"/>
            <w:u w:val="single"/>
          </w:rPr>
          <w:t>PubMed</w:t>
        </w:r>
      </w:hyperlink>
      <w:r w:rsidRPr="00155B11">
        <w:rPr>
          <w:rFonts w:ascii="Times New Roman" w:eastAsia="Times New Roman" w:hAnsi="Times New Roman" w:cs="Times New Roman"/>
          <w:color w:val="000000"/>
          <w:sz w:val="24"/>
          <w:szCs w:val="24"/>
        </w:rPr>
        <w:t>] [</w:t>
      </w:r>
      <w:hyperlink r:id="rId153" w:tgtFrame="_blank" w:history="1">
        <w:r w:rsidRPr="00155B11">
          <w:rPr>
            <w:rFonts w:ascii="Times New Roman" w:eastAsia="Times New Roman" w:hAnsi="Times New Roman" w:cs="Times New Roman"/>
            <w:color w:val="2F4A8B"/>
            <w:sz w:val="24"/>
            <w:szCs w:val="24"/>
            <w:u w:val="single"/>
          </w:rPr>
          <w:t>Google Scholar</w:t>
        </w:r>
      </w:hyperlink>
      <w:r w:rsidRPr="00155B11">
        <w:rPr>
          <w:rFonts w:ascii="Times New Roman" w:eastAsia="Times New Roman" w:hAnsi="Times New Roman" w:cs="Times New Roman"/>
          <w:color w:val="000000"/>
          <w:sz w:val="24"/>
          <w:szCs w:val="24"/>
        </w:rPr>
        <w:t>]</w:t>
      </w:r>
    </w:p>
    <w:p w:rsidR="00155B11" w:rsidRPr="00155B11" w:rsidRDefault="00155B11" w:rsidP="00155B11">
      <w:pPr>
        <w:shd w:val="clear" w:color="auto" w:fill="FFFFFF"/>
        <w:spacing w:line="240" w:lineRule="auto"/>
        <w:rPr>
          <w:rFonts w:ascii="Times New Roman" w:eastAsia="Times New Roman" w:hAnsi="Times New Roman" w:cs="Times New Roman"/>
          <w:color w:val="000000"/>
          <w:sz w:val="24"/>
          <w:szCs w:val="24"/>
        </w:rPr>
      </w:pPr>
      <w:r w:rsidRPr="00155B11">
        <w:rPr>
          <w:rFonts w:ascii="Times New Roman" w:eastAsia="Times New Roman" w:hAnsi="Times New Roman" w:cs="Times New Roman"/>
          <w:color w:val="000000"/>
          <w:sz w:val="24"/>
          <w:szCs w:val="24"/>
        </w:rPr>
        <w:t>22. Niewold TB, Bundrick JB. Disseminated intravascular coagulation due to cytomegalovirus infection in an immunocompetent adult treated with plasma exchange. </w:t>
      </w:r>
      <w:r w:rsidRPr="00155B11">
        <w:rPr>
          <w:rFonts w:ascii="Times New Roman" w:eastAsia="Times New Roman" w:hAnsi="Times New Roman" w:cs="Times New Roman"/>
          <w:i/>
          <w:iCs/>
          <w:color w:val="000000"/>
          <w:sz w:val="24"/>
          <w:szCs w:val="24"/>
        </w:rPr>
        <w:t>Am J Hematol. </w:t>
      </w:r>
      <w:r w:rsidRPr="00155B11">
        <w:rPr>
          <w:rFonts w:ascii="Times New Roman" w:eastAsia="Times New Roman" w:hAnsi="Times New Roman" w:cs="Times New Roman"/>
          <w:color w:val="000000"/>
          <w:sz w:val="24"/>
          <w:szCs w:val="24"/>
        </w:rPr>
        <w:t>2006;81(6):454–457. [</w:t>
      </w:r>
      <w:hyperlink r:id="rId154" w:history="1">
        <w:r w:rsidRPr="00155B11">
          <w:rPr>
            <w:rFonts w:ascii="Times New Roman" w:eastAsia="Times New Roman" w:hAnsi="Times New Roman" w:cs="Times New Roman"/>
            <w:color w:val="2F4A8B"/>
            <w:sz w:val="24"/>
            <w:szCs w:val="24"/>
            <w:u w:val="single"/>
          </w:rPr>
          <w:t>PubMed</w:t>
        </w:r>
      </w:hyperlink>
      <w:r w:rsidRPr="00155B11">
        <w:rPr>
          <w:rFonts w:ascii="Times New Roman" w:eastAsia="Times New Roman" w:hAnsi="Times New Roman" w:cs="Times New Roman"/>
          <w:color w:val="000000"/>
          <w:sz w:val="24"/>
          <w:szCs w:val="24"/>
        </w:rPr>
        <w:t>] [</w:t>
      </w:r>
      <w:hyperlink r:id="rId155" w:tgtFrame="_blank" w:history="1">
        <w:r w:rsidRPr="00155B11">
          <w:rPr>
            <w:rFonts w:ascii="Times New Roman" w:eastAsia="Times New Roman" w:hAnsi="Times New Roman" w:cs="Times New Roman"/>
            <w:color w:val="2F4A8B"/>
            <w:sz w:val="24"/>
            <w:szCs w:val="24"/>
            <w:u w:val="single"/>
          </w:rPr>
          <w:t>Google Scholar</w:t>
        </w:r>
      </w:hyperlink>
      <w:r w:rsidRPr="00155B11">
        <w:rPr>
          <w:rFonts w:ascii="Times New Roman" w:eastAsia="Times New Roman" w:hAnsi="Times New Roman" w:cs="Times New Roman"/>
          <w:color w:val="000000"/>
          <w:sz w:val="24"/>
          <w:szCs w:val="24"/>
        </w:rPr>
        <w:t>]</w:t>
      </w:r>
    </w:p>
    <w:p w:rsidR="00155B11" w:rsidRPr="00155B11" w:rsidRDefault="00155B11" w:rsidP="00155B11">
      <w:pPr>
        <w:shd w:val="clear" w:color="auto" w:fill="FFFFFF"/>
        <w:spacing w:line="240" w:lineRule="auto"/>
        <w:rPr>
          <w:rFonts w:ascii="Times New Roman" w:eastAsia="Times New Roman" w:hAnsi="Times New Roman" w:cs="Times New Roman"/>
          <w:color w:val="000000"/>
          <w:sz w:val="24"/>
          <w:szCs w:val="24"/>
        </w:rPr>
      </w:pPr>
      <w:r w:rsidRPr="00155B11">
        <w:rPr>
          <w:rFonts w:ascii="Times New Roman" w:eastAsia="Times New Roman" w:hAnsi="Times New Roman" w:cs="Times New Roman"/>
          <w:color w:val="000000"/>
          <w:sz w:val="24"/>
          <w:szCs w:val="24"/>
        </w:rPr>
        <w:t>23. Stegmayr BG, Banga R, Berggren L, Norda R, Rydvall A, Vikerfors T. Plasma exchange as rescue therapy in multiple organ failure including acute renal failure. </w:t>
      </w:r>
      <w:r w:rsidRPr="00155B11">
        <w:rPr>
          <w:rFonts w:ascii="Times New Roman" w:eastAsia="Times New Roman" w:hAnsi="Times New Roman" w:cs="Times New Roman"/>
          <w:i/>
          <w:iCs/>
          <w:color w:val="000000"/>
          <w:sz w:val="24"/>
          <w:szCs w:val="24"/>
        </w:rPr>
        <w:t>Crit Care Med. </w:t>
      </w:r>
      <w:r w:rsidRPr="00155B11">
        <w:rPr>
          <w:rFonts w:ascii="Times New Roman" w:eastAsia="Times New Roman" w:hAnsi="Times New Roman" w:cs="Times New Roman"/>
          <w:color w:val="000000"/>
          <w:sz w:val="24"/>
          <w:szCs w:val="24"/>
        </w:rPr>
        <w:t>2003;31(6):1730–1736. [</w:t>
      </w:r>
      <w:hyperlink r:id="rId156" w:history="1">
        <w:r w:rsidRPr="00155B11">
          <w:rPr>
            <w:rFonts w:ascii="Times New Roman" w:eastAsia="Times New Roman" w:hAnsi="Times New Roman" w:cs="Times New Roman"/>
            <w:color w:val="2F4A8B"/>
            <w:sz w:val="24"/>
            <w:szCs w:val="24"/>
            <w:u w:val="single"/>
          </w:rPr>
          <w:t>PubMed</w:t>
        </w:r>
      </w:hyperlink>
      <w:r w:rsidRPr="00155B11">
        <w:rPr>
          <w:rFonts w:ascii="Times New Roman" w:eastAsia="Times New Roman" w:hAnsi="Times New Roman" w:cs="Times New Roman"/>
          <w:color w:val="000000"/>
          <w:sz w:val="24"/>
          <w:szCs w:val="24"/>
        </w:rPr>
        <w:t>] [</w:t>
      </w:r>
      <w:hyperlink r:id="rId157" w:tgtFrame="_blank" w:history="1">
        <w:r w:rsidRPr="00155B11">
          <w:rPr>
            <w:rFonts w:ascii="Times New Roman" w:eastAsia="Times New Roman" w:hAnsi="Times New Roman" w:cs="Times New Roman"/>
            <w:color w:val="2F4A8B"/>
            <w:sz w:val="24"/>
            <w:szCs w:val="24"/>
            <w:u w:val="single"/>
          </w:rPr>
          <w:t>Google Scholar</w:t>
        </w:r>
      </w:hyperlink>
      <w:r w:rsidRPr="00155B11">
        <w:rPr>
          <w:rFonts w:ascii="Times New Roman" w:eastAsia="Times New Roman" w:hAnsi="Times New Roman" w:cs="Times New Roman"/>
          <w:color w:val="000000"/>
          <w:sz w:val="24"/>
          <w:szCs w:val="24"/>
        </w:rPr>
        <w:t>]</w:t>
      </w:r>
    </w:p>
    <w:p w:rsidR="00155B11" w:rsidRPr="00155B11" w:rsidRDefault="00155B11" w:rsidP="00155B11">
      <w:pPr>
        <w:shd w:val="clear" w:color="auto" w:fill="FFFFFF"/>
        <w:spacing w:line="240" w:lineRule="auto"/>
        <w:rPr>
          <w:rFonts w:ascii="Times New Roman" w:eastAsia="Times New Roman" w:hAnsi="Times New Roman" w:cs="Times New Roman"/>
          <w:color w:val="000000"/>
          <w:sz w:val="24"/>
          <w:szCs w:val="24"/>
        </w:rPr>
      </w:pPr>
      <w:r w:rsidRPr="00155B11">
        <w:rPr>
          <w:rFonts w:ascii="Times New Roman" w:eastAsia="Times New Roman" w:hAnsi="Times New Roman" w:cs="Times New Roman"/>
          <w:color w:val="000000"/>
          <w:sz w:val="24"/>
          <w:szCs w:val="24"/>
        </w:rPr>
        <w:t>24. van Deuren M, Frieling JT, van der Ven-Jongekrijg J, et al. Plasma patterns of tumor necrosis factor-alpha (TNF) and TNF soluble receptors during acute meningococcal infections and the effect of plasma exchange. </w:t>
      </w:r>
      <w:r w:rsidRPr="00155B11">
        <w:rPr>
          <w:rFonts w:ascii="Times New Roman" w:eastAsia="Times New Roman" w:hAnsi="Times New Roman" w:cs="Times New Roman"/>
          <w:i/>
          <w:iCs/>
          <w:color w:val="000000"/>
          <w:sz w:val="24"/>
          <w:szCs w:val="24"/>
        </w:rPr>
        <w:t>Clin Infect Dis. </w:t>
      </w:r>
      <w:r w:rsidRPr="00155B11">
        <w:rPr>
          <w:rFonts w:ascii="Times New Roman" w:eastAsia="Times New Roman" w:hAnsi="Times New Roman" w:cs="Times New Roman"/>
          <w:color w:val="000000"/>
          <w:sz w:val="24"/>
          <w:szCs w:val="24"/>
        </w:rPr>
        <w:t>1998;26(4):918–923. [</w:t>
      </w:r>
      <w:hyperlink r:id="rId158" w:history="1">
        <w:r w:rsidRPr="00155B11">
          <w:rPr>
            <w:rFonts w:ascii="Times New Roman" w:eastAsia="Times New Roman" w:hAnsi="Times New Roman" w:cs="Times New Roman"/>
            <w:color w:val="2F4A8B"/>
            <w:sz w:val="24"/>
            <w:szCs w:val="24"/>
            <w:u w:val="single"/>
          </w:rPr>
          <w:t>PubMed</w:t>
        </w:r>
      </w:hyperlink>
      <w:r w:rsidRPr="00155B11">
        <w:rPr>
          <w:rFonts w:ascii="Times New Roman" w:eastAsia="Times New Roman" w:hAnsi="Times New Roman" w:cs="Times New Roman"/>
          <w:color w:val="000000"/>
          <w:sz w:val="24"/>
          <w:szCs w:val="24"/>
        </w:rPr>
        <w:t>] [</w:t>
      </w:r>
      <w:hyperlink r:id="rId159" w:tgtFrame="_blank" w:history="1">
        <w:r w:rsidRPr="00155B11">
          <w:rPr>
            <w:rFonts w:ascii="Times New Roman" w:eastAsia="Times New Roman" w:hAnsi="Times New Roman" w:cs="Times New Roman"/>
            <w:color w:val="2F4A8B"/>
            <w:sz w:val="24"/>
            <w:szCs w:val="24"/>
            <w:u w:val="single"/>
          </w:rPr>
          <w:t>Google Scholar</w:t>
        </w:r>
      </w:hyperlink>
      <w:r w:rsidRPr="00155B11">
        <w:rPr>
          <w:rFonts w:ascii="Times New Roman" w:eastAsia="Times New Roman" w:hAnsi="Times New Roman" w:cs="Times New Roman"/>
          <w:color w:val="000000"/>
          <w:sz w:val="24"/>
          <w:szCs w:val="24"/>
        </w:rPr>
        <w:t>]</w:t>
      </w:r>
    </w:p>
    <w:p w:rsidR="00155B11" w:rsidRPr="00155B11" w:rsidRDefault="00155B11" w:rsidP="00155B11">
      <w:pPr>
        <w:shd w:val="clear" w:color="auto" w:fill="FFFFFF"/>
        <w:spacing w:line="240" w:lineRule="auto"/>
        <w:rPr>
          <w:rFonts w:ascii="Times New Roman" w:eastAsia="Times New Roman" w:hAnsi="Times New Roman" w:cs="Times New Roman"/>
          <w:color w:val="000000"/>
          <w:sz w:val="24"/>
          <w:szCs w:val="24"/>
        </w:rPr>
      </w:pPr>
      <w:r w:rsidRPr="00155B11">
        <w:rPr>
          <w:rFonts w:ascii="Times New Roman" w:eastAsia="Times New Roman" w:hAnsi="Times New Roman" w:cs="Times New Roman"/>
          <w:color w:val="000000"/>
          <w:sz w:val="24"/>
          <w:szCs w:val="24"/>
        </w:rPr>
        <w:t>25. Nguyen TC, Han YY, Kiss JE, et al. Intensive plasma exchange increases a disintegrin and metalloprotease with thrombospondin motifs-13 activity and reverses organ dysfunction in children with thrombocytopenia-associated multiple organ failure*. </w:t>
      </w:r>
      <w:r w:rsidRPr="00155B11">
        <w:rPr>
          <w:rFonts w:ascii="Times New Roman" w:eastAsia="Times New Roman" w:hAnsi="Times New Roman" w:cs="Times New Roman"/>
          <w:i/>
          <w:iCs/>
          <w:color w:val="000000"/>
          <w:sz w:val="24"/>
          <w:szCs w:val="24"/>
        </w:rPr>
        <w:t>Crit Care Med. </w:t>
      </w:r>
      <w:r w:rsidRPr="00155B11">
        <w:rPr>
          <w:rFonts w:ascii="Times New Roman" w:eastAsia="Times New Roman" w:hAnsi="Times New Roman" w:cs="Times New Roman"/>
          <w:color w:val="000000"/>
          <w:sz w:val="24"/>
          <w:szCs w:val="24"/>
        </w:rPr>
        <w:t>2008;36(10):2878–2887. [</w:t>
      </w:r>
      <w:hyperlink r:id="rId160" w:history="1">
        <w:r w:rsidRPr="00155B11">
          <w:rPr>
            <w:rFonts w:ascii="Times New Roman" w:eastAsia="Times New Roman" w:hAnsi="Times New Roman" w:cs="Times New Roman"/>
            <w:color w:val="2F4A8B"/>
            <w:sz w:val="24"/>
            <w:szCs w:val="24"/>
            <w:u w:val="single"/>
          </w:rPr>
          <w:t>PMC free article</w:t>
        </w:r>
      </w:hyperlink>
      <w:r w:rsidRPr="00155B11">
        <w:rPr>
          <w:rFonts w:ascii="Times New Roman" w:eastAsia="Times New Roman" w:hAnsi="Times New Roman" w:cs="Times New Roman"/>
          <w:color w:val="000000"/>
          <w:sz w:val="24"/>
          <w:szCs w:val="24"/>
        </w:rPr>
        <w:t>] [</w:t>
      </w:r>
      <w:hyperlink r:id="rId161" w:history="1">
        <w:r w:rsidRPr="00155B11">
          <w:rPr>
            <w:rFonts w:ascii="Times New Roman" w:eastAsia="Times New Roman" w:hAnsi="Times New Roman" w:cs="Times New Roman"/>
            <w:color w:val="2F4A8B"/>
            <w:sz w:val="24"/>
            <w:szCs w:val="24"/>
            <w:u w:val="single"/>
          </w:rPr>
          <w:t>PubMed</w:t>
        </w:r>
      </w:hyperlink>
      <w:r w:rsidRPr="00155B11">
        <w:rPr>
          <w:rFonts w:ascii="Times New Roman" w:eastAsia="Times New Roman" w:hAnsi="Times New Roman" w:cs="Times New Roman"/>
          <w:color w:val="000000"/>
          <w:sz w:val="24"/>
          <w:szCs w:val="24"/>
        </w:rPr>
        <w:t>] [</w:t>
      </w:r>
      <w:hyperlink r:id="rId162" w:tgtFrame="_blank" w:history="1">
        <w:r w:rsidRPr="00155B11">
          <w:rPr>
            <w:rFonts w:ascii="Times New Roman" w:eastAsia="Times New Roman" w:hAnsi="Times New Roman" w:cs="Times New Roman"/>
            <w:color w:val="2F4A8B"/>
            <w:sz w:val="24"/>
            <w:szCs w:val="24"/>
            <w:u w:val="single"/>
          </w:rPr>
          <w:t>Google Scholar</w:t>
        </w:r>
      </w:hyperlink>
      <w:r w:rsidRPr="00155B11">
        <w:rPr>
          <w:rFonts w:ascii="Times New Roman" w:eastAsia="Times New Roman" w:hAnsi="Times New Roman" w:cs="Times New Roman"/>
          <w:color w:val="000000"/>
          <w:sz w:val="24"/>
          <w:szCs w:val="24"/>
        </w:rPr>
        <w:t>]</w:t>
      </w:r>
    </w:p>
    <w:p w:rsidR="00155B11" w:rsidRPr="00155B11" w:rsidRDefault="00155B11" w:rsidP="00155B11">
      <w:pPr>
        <w:shd w:val="clear" w:color="auto" w:fill="FFFFFF"/>
        <w:spacing w:line="240" w:lineRule="auto"/>
        <w:rPr>
          <w:rFonts w:ascii="Times New Roman" w:eastAsia="Times New Roman" w:hAnsi="Times New Roman" w:cs="Times New Roman"/>
          <w:color w:val="000000"/>
          <w:sz w:val="24"/>
          <w:szCs w:val="24"/>
        </w:rPr>
      </w:pPr>
      <w:r w:rsidRPr="00155B11">
        <w:rPr>
          <w:rFonts w:ascii="Times New Roman" w:eastAsia="Times New Roman" w:hAnsi="Times New Roman" w:cs="Times New Roman"/>
          <w:color w:val="000000"/>
          <w:sz w:val="24"/>
          <w:szCs w:val="24"/>
        </w:rPr>
        <w:t>26. Nadel S, Goldstein B, Williams MD, et al. Drotrecogin alfa (activated) in children with severe sepsis: a multicentre phase III randomised controlled trial. </w:t>
      </w:r>
      <w:r w:rsidRPr="00155B11">
        <w:rPr>
          <w:rFonts w:ascii="Times New Roman" w:eastAsia="Times New Roman" w:hAnsi="Times New Roman" w:cs="Times New Roman"/>
          <w:i/>
          <w:iCs/>
          <w:color w:val="000000"/>
          <w:sz w:val="24"/>
          <w:szCs w:val="24"/>
        </w:rPr>
        <w:t>The Lancet. </w:t>
      </w:r>
      <w:r w:rsidRPr="00155B11">
        <w:rPr>
          <w:rFonts w:ascii="Times New Roman" w:eastAsia="Times New Roman" w:hAnsi="Times New Roman" w:cs="Times New Roman"/>
          <w:color w:val="000000"/>
          <w:sz w:val="24"/>
          <w:szCs w:val="24"/>
        </w:rPr>
        <w:t>2007;369(9564):836–843. [</w:t>
      </w:r>
      <w:hyperlink r:id="rId163" w:history="1">
        <w:r w:rsidRPr="00155B11">
          <w:rPr>
            <w:rFonts w:ascii="Times New Roman" w:eastAsia="Times New Roman" w:hAnsi="Times New Roman" w:cs="Times New Roman"/>
            <w:color w:val="2F4A8B"/>
            <w:sz w:val="24"/>
            <w:szCs w:val="24"/>
            <w:u w:val="single"/>
          </w:rPr>
          <w:t>PubMed</w:t>
        </w:r>
      </w:hyperlink>
      <w:r w:rsidRPr="00155B11">
        <w:rPr>
          <w:rFonts w:ascii="Times New Roman" w:eastAsia="Times New Roman" w:hAnsi="Times New Roman" w:cs="Times New Roman"/>
          <w:color w:val="000000"/>
          <w:sz w:val="24"/>
          <w:szCs w:val="24"/>
        </w:rPr>
        <w:t>] [</w:t>
      </w:r>
      <w:hyperlink r:id="rId164" w:tgtFrame="_blank" w:history="1">
        <w:r w:rsidRPr="00155B11">
          <w:rPr>
            <w:rFonts w:ascii="Times New Roman" w:eastAsia="Times New Roman" w:hAnsi="Times New Roman" w:cs="Times New Roman"/>
            <w:color w:val="2F4A8B"/>
            <w:sz w:val="24"/>
            <w:szCs w:val="24"/>
            <w:u w:val="single"/>
          </w:rPr>
          <w:t>Google Scholar</w:t>
        </w:r>
      </w:hyperlink>
      <w:r w:rsidRPr="00155B11">
        <w:rPr>
          <w:rFonts w:ascii="Times New Roman" w:eastAsia="Times New Roman" w:hAnsi="Times New Roman" w:cs="Times New Roman"/>
          <w:color w:val="000000"/>
          <w:sz w:val="24"/>
          <w:szCs w:val="24"/>
        </w:rPr>
        <w:t>]</w:t>
      </w:r>
    </w:p>
    <w:p w:rsidR="00155B11" w:rsidRPr="00155B11" w:rsidRDefault="00155B11" w:rsidP="00155B11">
      <w:pPr>
        <w:shd w:val="clear" w:color="auto" w:fill="FFFFFF"/>
        <w:spacing w:line="240" w:lineRule="auto"/>
        <w:rPr>
          <w:rFonts w:ascii="Times New Roman" w:eastAsia="Times New Roman" w:hAnsi="Times New Roman" w:cs="Times New Roman"/>
          <w:color w:val="000000"/>
          <w:sz w:val="24"/>
          <w:szCs w:val="24"/>
        </w:rPr>
      </w:pPr>
      <w:r w:rsidRPr="00155B11">
        <w:rPr>
          <w:rFonts w:ascii="Times New Roman" w:eastAsia="Times New Roman" w:hAnsi="Times New Roman" w:cs="Times New Roman"/>
          <w:color w:val="000000"/>
          <w:sz w:val="24"/>
          <w:szCs w:val="24"/>
        </w:rPr>
        <w:t>27. Asherson RA, Cervera R, de Groot PG, et al. Catastrophic antiphospholipid syndrome: international consensus statement on classification criteria and treatment guidelines. </w:t>
      </w:r>
      <w:r w:rsidRPr="00155B11">
        <w:rPr>
          <w:rFonts w:ascii="Times New Roman" w:eastAsia="Times New Roman" w:hAnsi="Times New Roman" w:cs="Times New Roman"/>
          <w:i/>
          <w:iCs/>
          <w:color w:val="000000"/>
          <w:sz w:val="24"/>
          <w:szCs w:val="24"/>
        </w:rPr>
        <w:t>Lupus. </w:t>
      </w:r>
      <w:r w:rsidRPr="00155B11">
        <w:rPr>
          <w:rFonts w:ascii="Times New Roman" w:eastAsia="Times New Roman" w:hAnsi="Times New Roman" w:cs="Times New Roman"/>
          <w:color w:val="000000"/>
          <w:sz w:val="24"/>
          <w:szCs w:val="24"/>
        </w:rPr>
        <w:t>2003;12(7):530–534. [</w:t>
      </w:r>
      <w:hyperlink r:id="rId165" w:history="1">
        <w:r w:rsidRPr="00155B11">
          <w:rPr>
            <w:rFonts w:ascii="Times New Roman" w:eastAsia="Times New Roman" w:hAnsi="Times New Roman" w:cs="Times New Roman"/>
            <w:color w:val="2F4A8B"/>
            <w:sz w:val="24"/>
            <w:szCs w:val="24"/>
            <w:u w:val="single"/>
          </w:rPr>
          <w:t>PubMed</w:t>
        </w:r>
      </w:hyperlink>
      <w:r w:rsidRPr="00155B11">
        <w:rPr>
          <w:rFonts w:ascii="Times New Roman" w:eastAsia="Times New Roman" w:hAnsi="Times New Roman" w:cs="Times New Roman"/>
          <w:color w:val="000000"/>
          <w:sz w:val="24"/>
          <w:szCs w:val="24"/>
        </w:rPr>
        <w:t>] [</w:t>
      </w:r>
      <w:hyperlink r:id="rId166" w:tgtFrame="_blank" w:history="1">
        <w:r w:rsidRPr="00155B11">
          <w:rPr>
            <w:rFonts w:ascii="Times New Roman" w:eastAsia="Times New Roman" w:hAnsi="Times New Roman" w:cs="Times New Roman"/>
            <w:color w:val="2F4A8B"/>
            <w:sz w:val="24"/>
            <w:szCs w:val="24"/>
            <w:u w:val="single"/>
          </w:rPr>
          <w:t>Google Scholar</w:t>
        </w:r>
      </w:hyperlink>
      <w:r w:rsidRPr="00155B11">
        <w:rPr>
          <w:rFonts w:ascii="Times New Roman" w:eastAsia="Times New Roman" w:hAnsi="Times New Roman" w:cs="Times New Roman"/>
          <w:color w:val="000000"/>
          <w:sz w:val="24"/>
          <w:szCs w:val="24"/>
        </w:rPr>
        <w:t>]</w:t>
      </w:r>
    </w:p>
    <w:p w:rsidR="00155B11" w:rsidRPr="00155B11" w:rsidRDefault="00155B11" w:rsidP="00155B11">
      <w:pPr>
        <w:shd w:val="clear" w:color="auto" w:fill="FFFFFF"/>
        <w:spacing w:line="240" w:lineRule="auto"/>
        <w:rPr>
          <w:rFonts w:ascii="Times New Roman" w:eastAsia="Times New Roman" w:hAnsi="Times New Roman" w:cs="Times New Roman"/>
          <w:color w:val="000000"/>
          <w:sz w:val="24"/>
          <w:szCs w:val="24"/>
        </w:rPr>
      </w:pPr>
      <w:r w:rsidRPr="00155B11">
        <w:rPr>
          <w:rFonts w:ascii="Times New Roman" w:eastAsia="Times New Roman" w:hAnsi="Times New Roman" w:cs="Times New Roman"/>
          <w:color w:val="000000"/>
          <w:sz w:val="24"/>
          <w:szCs w:val="24"/>
        </w:rPr>
        <w:lastRenderedPageBreak/>
        <w:t>28. Cervera R, Font J, Gomez-Puerta JA, et al. Validation of the preliminary criteria for the classification of catastrophic antiphospholipid syndrome. </w:t>
      </w:r>
      <w:r w:rsidRPr="00155B11">
        <w:rPr>
          <w:rFonts w:ascii="Times New Roman" w:eastAsia="Times New Roman" w:hAnsi="Times New Roman" w:cs="Times New Roman"/>
          <w:i/>
          <w:iCs/>
          <w:color w:val="000000"/>
          <w:sz w:val="24"/>
          <w:szCs w:val="24"/>
        </w:rPr>
        <w:t>Ann Rheum Dis. </w:t>
      </w:r>
      <w:r w:rsidRPr="00155B11">
        <w:rPr>
          <w:rFonts w:ascii="Times New Roman" w:eastAsia="Times New Roman" w:hAnsi="Times New Roman" w:cs="Times New Roman"/>
          <w:color w:val="000000"/>
          <w:sz w:val="24"/>
          <w:szCs w:val="24"/>
        </w:rPr>
        <w:t>2005;64(8):1205–1209. [</w:t>
      </w:r>
      <w:hyperlink r:id="rId167" w:history="1">
        <w:r w:rsidRPr="00155B11">
          <w:rPr>
            <w:rFonts w:ascii="Times New Roman" w:eastAsia="Times New Roman" w:hAnsi="Times New Roman" w:cs="Times New Roman"/>
            <w:color w:val="2F4A8B"/>
            <w:sz w:val="24"/>
            <w:szCs w:val="24"/>
            <w:u w:val="single"/>
          </w:rPr>
          <w:t>PMC free article</w:t>
        </w:r>
      </w:hyperlink>
      <w:r w:rsidRPr="00155B11">
        <w:rPr>
          <w:rFonts w:ascii="Times New Roman" w:eastAsia="Times New Roman" w:hAnsi="Times New Roman" w:cs="Times New Roman"/>
          <w:color w:val="000000"/>
          <w:sz w:val="24"/>
          <w:szCs w:val="24"/>
        </w:rPr>
        <w:t>] [</w:t>
      </w:r>
      <w:hyperlink r:id="rId168" w:history="1">
        <w:r w:rsidRPr="00155B11">
          <w:rPr>
            <w:rFonts w:ascii="Times New Roman" w:eastAsia="Times New Roman" w:hAnsi="Times New Roman" w:cs="Times New Roman"/>
            <w:color w:val="2F4A8B"/>
            <w:sz w:val="24"/>
            <w:szCs w:val="24"/>
            <w:u w:val="single"/>
          </w:rPr>
          <w:t>PubMed</w:t>
        </w:r>
      </w:hyperlink>
      <w:r w:rsidRPr="00155B11">
        <w:rPr>
          <w:rFonts w:ascii="Times New Roman" w:eastAsia="Times New Roman" w:hAnsi="Times New Roman" w:cs="Times New Roman"/>
          <w:color w:val="000000"/>
          <w:sz w:val="24"/>
          <w:szCs w:val="24"/>
        </w:rPr>
        <w:t>] [</w:t>
      </w:r>
      <w:hyperlink r:id="rId169" w:tgtFrame="_blank" w:history="1">
        <w:r w:rsidRPr="00155B11">
          <w:rPr>
            <w:rFonts w:ascii="Times New Roman" w:eastAsia="Times New Roman" w:hAnsi="Times New Roman" w:cs="Times New Roman"/>
            <w:color w:val="2F4A8B"/>
            <w:sz w:val="24"/>
            <w:szCs w:val="24"/>
            <w:u w:val="single"/>
          </w:rPr>
          <w:t>Google Scholar</w:t>
        </w:r>
      </w:hyperlink>
      <w:r w:rsidRPr="00155B11">
        <w:rPr>
          <w:rFonts w:ascii="Times New Roman" w:eastAsia="Times New Roman" w:hAnsi="Times New Roman" w:cs="Times New Roman"/>
          <w:color w:val="000000"/>
          <w:sz w:val="24"/>
          <w:szCs w:val="24"/>
        </w:rPr>
        <w:t>]</w:t>
      </w:r>
    </w:p>
    <w:p w:rsidR="00155B11" w:rsidRPr="00155B11" w:rsidRDefault="00155B11" w:rsidP="00155B11">
      <w:pPr>
        <w:shd w:val="clear" w:color="auto" w:fill="FFFFFF"/>
        <w:spacing w:line="240" w:lineRule="auto"/>
        <w:rPr>
          <w:rFonts w:ascii="Times New Roman" w:eastAsia="Times New Roman" w:hAnsi="Times New Roman" w:cs="Times New Roman"/>
          <w:color w:val="000000"/>
          <w:sz w:val="24"/>
          <w:szCs w:val="24"/>
        </w:rPr>
      </w:pPr>
      <w:r w:rsidRPr="00155B11">
        <w:rPr>
          <w:rFonts w:ascii="Times New Roman" w:eastAsia="Times New Roman" w:hAnsi="Times New Roman" w:cs="Times New Roman"/>
          <w:color w:val="000000"/>
          <w:sz w:val="24"/>
          <w:szCs w:val="24"/>
        </w:rPr>
        <w:t>29. Flamholz R, Tran T, Grad GI, et al. Therapeutic plasma exchange for the acute management of the catastrophic antiphospholipid syndrome: beta(2)-glycoprotein I antibodies as a marker of response to therapy. </w:t>
      </w:r>
      <w:r w:rsidRPr="00155B11">
        <w:rPr>
          <w:rFonts w:ascii="Times New Roman" w:eastAsia="Times New Roman" w:hAnsi="Times New Roman" w:cs="Times New Roman"/>
          <w:i/>
          <w:iCs/>
          <w:color w:val="000000"/>
          <w:sz w:val="24"/>
          <w:szCs w:val="24"/>
        </w:rPr>
        <w:t>J Clin Apher. </w:t>
      </w:r>
      <w:r w:rsidRPr="00155B11">
        <w:rPr>
          <w:rFonts w:ascii="Times New Roman" w:eastAsia="Times New Roman" w:hAnsi="Times New Roman" w:cs="Times New Roman"/>
          <w:color w:val="000000"/>
          <w:sz w:val="24"/>
          <w:szCs w:val="24"/>
        </w:rPr>
        <w:t>1999;14(4):171–176. [</w:t>
      </w:r>
      <w:hyperlink r:id="rId170" w:history="1">
        <w:r w:rsidRPr="00155B11">
          <w:rPr>
            <w:rFonts w:ascii="Times New Roman" w:eastAsia="Times New Roman" w:hAnsi="Times New Roman" w:cs="Times New Roman"/>
            <w:color w:val="2F4A8B"/>
            <w:sz w:val="24"/>
            <w:szCs w:val="24"/>
            <w:u w:val="single"/>
          </w:rPr>
          <w:t>PubMed</w:t>
        </w:r>
      </w:hyperlink>
      <w:r w:rsidRPr="00155B11">
        <w:rPr>
          <w:rFonts w:ascii="Times New Roman" w:eastAsia="Times New Roman" w:hAnsi="Times New Roman" w:cs="Times New Roman"/>
          <w:color w:val="000000"/>
          <w:sz w:val="24"/>
          <w:szCs w:val="24"/>
        </w:rPr>
        <w:t>] [</w:t>
      </w:r>
      <w:hyperlink r:id="rId171" w:tgtFrame="_blank" w:history="1">
        <w:r w:rsidRPr="00155B11">
          <w:rPr>
            <w:rFonts w:ascii="Times New Roman" w:eastAsia="Times New Roman" w:hAnsi="Times New Roman" w:cs="Times New Roman"/>
            <w:color w:val="2F4A8B"/>
            <w:sz w:val="24"/>
            <w:szCs w:val="24"/>
            <w:u w:val="single"/>
          </w:rPr>
          <w:t>Google Scholar</w:t>
        </w:r>
      </w:hyperlink>
      <w:r w:rsidRPr="00155B11">
        <w:rPr>
          <w:rFonts w:ascii="Times New Roman" w:eastAsia="Times New Roman" w:hAnsi="Times New Roman" w:cs="Times New Roman"/>
          <w:color w:val="000000"/>
          <w:sz w:val="24"/>
          <w:szCs w:val="24"/>
        </w:rPr>
        <w:t>]</w:t>
      </w:r>
    </w:p>
    <w:p w:rsidR="00155B11" w:rsidRPr="00155B11" w:rsidRDefault="00155B11" w:rsidP="00155B11">
      <w:pPr>
        <w:shd w:val="clear" w:color="auto" w:fill="FFFFFF"/>
        <w:spacing w:line="240" w:lineRule="auto"/>
        <w:rPr>
          <w:rFonts w:ascii="Times New Roman" w:eastAsia="Times New Roman" w:hAnsi="Times New Roman" w:cs="Times New Roman"/>
          <w:color w:val="000000"/>
          <w:sz w:val="24"/>
          <w:szCs w:val="24"/>
        </w:rPr>
      </w:pPr>
      <w:r w:rsidRPr="00155B11">
        <w:rPr>
          <w:rFonts w:ascii="Times New Roman" w:eastAsia="Times New Roman" w:hAnsi="Times New Roman" w:cs="Times New Roman"/>
          <w:color w:val="000000"/>
          <w:sz w:val="24"/>
          <w:szCs w:val="24"/>
        </w:rPr>
        <w:t>30. Cervera R, Bucciarelli S, Plasin MA, et al. Catastrophic antiphospholipid syndrome (CAPS): descriptive analysis of a series of 280 patients from the "CAPS Registry". </w:t>
      </w:r>
      <w:r w:rsidRPr="00155B11">
        <w:rPr>
          <w:rFonts w:ascii="Times New Roman" w:eastAsia="Times New Roman" w:hAnsi="Times New Roman" w:cs="Times New Roman"/>
          <w:i/>
          <w:iCs/>
          <w:color w:val="000000"/>
          <w:sz w:val="24"/>
          <w:szCs w:val="24"/>
        </w:rPr>
        <w:t>J Autoimmun. </w:t>
      </w:r>
      <w:r w:rsidRPr="00155B11">
        <w:rPr>
          <w:rFonts w:ascii="Times New Roman" w:eastAsia="Times New Roman" w:hAnsi="Times New Roman" w:cs="Times New Roman"/>
          <w:color w:val="000000"/>
          <w:sz w:val="24"/>
          <w:szCs w:val="24"/>
        </w:rPr>
        <w:t>2009;32(3–4):240–245. [</w:t>
      </w:r>
      <w:hyperlink r:id="rId172" w:history="1">
        <w:r w:rsidRPr="00155B11">
          <w:rPr>
            <w:rFonts w:ascii="Times New Roman" w:eastAsia="Times New Roman" w:hAnsi="Times New Roman" w:cs="Times New Roman"/>
            <w:color w:val="2F4A8B"/>
            <w:sz w:val="24"/>
            <w:szCs w:val="24"/>
            <w:u w:val="single"/>
          </w:rPr>
          <w:t>PubMed</w:t>
        </w:r>
      </w:hyperlink>
      <w:r w:rsidRPr="00155B11">
        <w:rPr>
          <w:rFonts w:ascii="Times New Roman" w:eastAsia="Times New Roman" w:hAnsi="Times New Roman" w:cs="Times New Roman"/>
          <w:color w:val="000000"/>
          <w:sz w:val="24"/>
          <w:szCs w:val="24"/>
        </w:rPr>
        <w:t>] [</w:t>
      </w:r>
      <w:hyperlink r:id="rId173" w:tgtFrame="_blank" w:history="1">
        <w:r w:rsidRPr="00155B11">
          <w:rPr>
            <w:rFonts w:ascii="Times New Roman" w:eastAsia="Times New Roman" w:hAnsi="Times New Roman" w:cs="Times New Roman"/>
            <w:color w:val="2F4A8B"/>
            <w:sz w:val="24"/>
            <w:szCs w:val="24"/>
            <w:u w:val="single"/>
          </w:rPr>
          <w:t>Google Scholar</w:t>
        </w:r>
      </w:hyperlink>
      <w:r w:rsidRPr="00155B11">
        <w:rPr>
          <w:rFonts w:ascii="Times New Roman" w:eastAsia="Times New Roman" w:hAnsi="Times New Roman" w:cs="Times New Roman"/>
          <w:color w:val="000000"/>
          <w:sz w:val="24"/>
          <w:szCs w:val="24"/>
        </w:rPr>
        <w:t>]</w:t>
      </w:r>
    </w:p>
    <w:p w:rsidR="00155B11" w:rsidRPr="00155B11" w:rsidRDefault="00155B11" w:rsidP="00155B11">
      <w:pPr>
        <w:shd w:val="clear" w:color="auto" w:fill="FFFFFF"/>
        <w:spacing w:line="240" w:lineRule="auto"/>
        <w:rPr>
          <w:rFonts w:ascii="Times New Roman" w:eastAsia="Times New Roman" w:hAnsi="Times New Roman" w:cs="Times New Roman"/>
          <w:color w:val="000000"/>
          <w:sz w:val="24"/>
          <w:szCs w:val="24"/>
        </w:rPr>
      </w:pPr>
      <w:r w:rsidRPr="00155B11">
        <w:rPr>
          <w:rFonts w:ascii="Times New Roman" w:eastAsia="Times New Roman" w:hAnsi="Times New Roman" w:cs="Times New Roman"/>
          <w:color w:val="000000"/>
          <w:sz w:val="24"/>
          <w:szCs w:val="24"/>
        </w:rPr>
        <w:t>31. Uthman I, Shamseddine A, Taher A. The role of therapeutic plasma exchange in the catastrophic antiphospholipid syndrome. </w:t>
      </w:r>
      <w:r w:rsidRPr="00155B11">
        <w:rPr>
          <w:rFonts w:ascii="Times New Roman" w:eastAsia="Times New Roman" w:hAnsi="Times New Roman" w:cs="Times New Roman"/>
          <w:i/>
          <w:iCs/>
          <w:color w:val="000000"/>
          <w:sz w:val="24"/>
          <w:szCs w:val="24"/>
        </w:rPr>
        <w:t>Transfus Apher Sci. </w:t>
      </w:r>
      <w:r w:rsidRPr="00155B11">
        <w:rPr>
          <w:rFonts w:ascii="Times New Roman" w:eastAsia="Times New Roman" w:hAnsi="Times New Roman" w:cs="Times New Roman"/>
          <w:color w:val="000000"/>
          <w:sz w:val="24"/>
          <w:szCs w:val="24"/>
        </w:rPr>
        <w:t>2005;33(1):11–17. [</w:t>
      </w:r>
      <w:hyperlink r:id="rId174" w:history="1">
        <w:r w:rsidRPr="00155B11">
          <w:rPr>
            <w:rFonts w:ascii="Times New Roman" w:eastAsia="Times New Roman" w:hAnsi="Times New Roman" w:cs="Times New Roman"/>
            <w:color w:val="2F4A8B"/>
            <w:sz w:val="24"/>
            <w:szCs w:val="24"/>
            <w:u w:val="single"/>
          </w:rPr>
          <w:t>PubMed</w:t>
        </w:r>
      </w:hyperlink>
      <w:r w:rsidRPr="00155B11">
        <w:rPr>
          <w:rFonts w:ascii="Times New Roman" w:eastAsia="Times New Roman" w:hAnsi="Times New Roman" w:cs="Times New Roman"/>
          <w:color w:val="000000"/>
          <w:sz w:val="24"/>
          <w:szCs w:val="24"/>
        </w:rPr>
        <w:t>] [</w:t>
      </w:r>
      <w:hyperlink r:id="rId175" w:tgtFrame="_blank" w:history="1">
        <w:r w:rsidRPr="00155B11">
          <w:rPr>
            <w:rFonts w:ascii="Times New Roman" w:eastAsia="Times New Roman" w:hAnsi="Times New Roman" w:cs="Times New Roman"/>
            <w:color w:val="2F4A8B"/>
            <w:sz w:val="24"/>
            <w:szCs w:val="24"/>
            <w:u w:val="single"/>
          </w:rPr>
          <w:t>Google Scholar</w:t>
        </w:r>
      </w:hyperlink>
      <w:r w:rsidRPr="00155B11">
        <w:rPr>
          <w:rFonts w:ascii="Times New Roman" w:eastAsia="Times New Roman" w:hAnsi="Times New Roman" w:cs="Times New Roman"/>
          <w:color w:val="000000"/>
          <w:sz w:val="24"/>
          <w:szCs w:val="24"/>
        </w:rPr>
        <w:t>]</w:t>
      </w:r>
    </w:p>
    <w:p w:rsidR="00155B11" w:rsidRPr="00155B11" w:rsidRDefault="00155B11" w:rsidP="00155B11">
      <w:pPr>
        <w:shd w:val="clear" w:color="auto" w:fill="FFFFFF"/>
        <w:spacing w:line="240" w:lineRule="auto"/>
        <w:rPr>
          <w:rFonts w:ascii="Times New Roman" w:eastAsia="Times New Roman" w:hAnsi="Times New Roman" w:cs="Times New Roman"/>
          <w:color w:val="000000"/>
          <w:sz w:val="24"/>
          <w:szCs w:val="24"/>
        </w:rPr>
      </w:pPr>
      <w:r w:rsidRPr="00155B11">
        <w:rPr>
          <w:rFonts w:ascii="Times New Roman" w:eastAsia="Times New Roman" w:hAnsi="Times New Roman" w:cs="Times New Roman"/>
          <w:color w:val="000000"/>
          <w:sz w:val="24"/>
          <w:szCs w:val="24"/>
        </w:rPr>
        <w:t>32. Ruutu T, Barosi G, Benjamin RJ, et al. Diagnostic criteria for hematopoietic stem cell transplant-associated microangiopathy: results of a consensus process by an International Working Group. </w:t>
      </w:r>
      <w:r w:rsidRPr="00155B11">
        <w:rPr>
          <w:rFonts w:ascii="Times New Roman" w:eastAsia="Times New Roman" w:hAnsi="Times New Roman" w:cs="Times New Roman"/>
          <w:i/>
          <w:iCs/>
          <w:color w:val="000000"/>
          <w:sz w:val="24"/>
          <w:szCs w:val="24"/>
        </w:rPr>
        <w:t>Haematologica. </w:t>
      </w:r>
      <w:r w:rsidRPr="00155B11">
        <w:rPr>
          <w:rFonts w:ascii="Times New Roman" w:eastAsia="Times New Roman" w:hAnsi="Times New Roman" w:cs="Times New Roman"/>
          <w:color w:val="000000"/>
          <w:sz w:val="24"/>
          <w:szCs w:val="24"/>
        </w:rPr>
        <w:t>2007;92(1):95–100. [</w:t>
      </w:r>
      <w:hyperlink r:id="rId176" w:history="1">
        <w:r w:rsidRPr="00155B11">
          <w:rPr>
            <w:rFonts w:ascii="Times New Roman" w:eastAsia="Times New Roman" w:hAnsi="Times New Roman" w:cs="Times New Roman"/>
            <w:color w:val="2F4A8B"/>
            <w:sz w:val="24"/>
            <w:szCs w:val="24"/>
            <w:u w:val="single"/>
          </w:rPr>
          <w:t>PubMed</w:t>
        </w:r>
      </w:hyperlink>
      <w:r w:rsidRPr="00155B11">
        <w:rPr>
          <w:rFonts w:ascii="Times New Roman" w:eastAsia="Times New Roman" w:hAnsi="Times New Roman" w:cs="Times New Roman"/>
          <w:color w:val="000000"/>
          <w:sz w:val="24"/>
          <w:szCs w:val="24"/>
        </w:rPr>
        <w:t>] [</w:t>
      </w:r>
      <w:hyperlink r:id="rId177" w:tgtFrame="_blank" w:history="1">
        <w:r w:rsidRPr="00155B11">
          <w:rPr>
            <w:rFonts w:ascii="Times New Roman" w:eastAsia="Times New Roman" w:hAnsi="Times New Roman" w:cs="Times New Roman"/>
            <w:color w:val="2F4A8B"/>
            <w:sz w:val="24"/>
            <w:szCs w:val="24"/>
            <w:u w:val="single"/>
          </w:rPr>
          <w:t>Google Scholar</w:t>
        </w:r>
      </w:hyperlink>
      <w:r w:rsidRPr="00155B11">
        <w:rPr>
          <w:rFonts w:ascii="Times New Roman" w:eastAsia="Times New Roman" w:hAnsi="Times New Roman" w:cs="Times New Roman"/>
          <w:color w:val="000000"/>
          <w:sz w:val="24"/>
          <w:szCs w:val="24"/>
        </w:rPr>
        <w:t>]</w:t>
      </w:r>
    </w:p>
    <w:p w:rsidR="00155B11" w:rsidRPr="00155B11" w:rsidRDefault="00155B11" w:rsidP="00155B11">
      <w:pPr>
        <w:shd w:val="clear" w:color="auto" w:fill="FFFFFF"/>
        <w:spacing w:line="240" w:lineRule="auto"/>
        <w:rPr>
          <w:rFonts w:ascii="Times New Roman" w:eastAsia="Times New Roman" w:hAnsi="Times New Roman" w:cs="Times New Roman"/>
          <w:color w:val="000000"/>
          <w:sz w:val="24"/>
          <w:szCs w:val="24"/>
        </w:rPr>
      </w:pPr>
      <w:r w:rsidRPr="00155B11">
        <w:rPr>
          <w:rFonts w:ascii="Times New Roman" w:eastAsia="Times New Roman" w:hAnsi="Times New Roman" w:cs="Times New Roman"/>
          <w:color w:val="000000"/>
          <w:sz w:val="24"/>
          <w:szCs w:val="24"/>
        </w:rPr>
        <w:t>33. Uderzo C, Bonanomi S, Busca A, et al. Risk factors and severe outcome in thrombotic microangiopathy after allogeneic hematopoietic stem cell transplantation. </w:t>
      </w:r>
      <w:r w:rsidRPr="00155B11">
        <w:rPr>
          <w:rFonts w:ascii="Times New Roman" w:eastAsia="Times New Roman" w:hAnsi="Times New Roman" w:cs="Times New Roman"/>
          <w:i/>
          <w:iCs/>
          <w:color w:val="000000"/>
          <w:sz w:val="24"/>
          <w:szCs w:val="24"/>
        </w:rPr>
        <w:t>Transplantation. </w:t>
      </w:r>
      <w:r w:rsidRPr="00155B11">
        <w:rPr>
          <w:rFonts w:ascii="Times New Roman" w:eastAsia="Times New Roman" w:hAnsi="Times New Roman" w:cs="Times New Roman"/>
          <w:color w:val="000000"/>
          <w:sz w:val="24"/>
          <w:szCs w:val="24"/>
        </w:rPr>
        <w:t>2006;82(5):638–644. [</w:t>
      </w:r>
      <w:hyperlink r:id="rId178" w:history="1">
        <w:r w:rsidRPr="00155B11">
          <w:rPr>
            <w:rFonts w:ascii="Times New Roman" w:eastAsia="Times New Roman" w:hAnsi="Times New Roman" w:cs="Times New Roman"/>
            <w:color w:val="2F4A8B"/>
            <w:sz w:val="24"/>
            <w:szCs w:val="24"/>
            <w:u w:val="single"/>
          </w:rPr>
          <w:t>PubMed</w:t>
        </w:r>
      </w:hyperlink>
      <w:r w:rsidRPr="00155B11">
        <w:rPr>
          <w:rFonts w:ascii="Times New Roman" w:eastAsia="Times New Roman" w:hAnsi="Times New Roman" w:cs="Times New Roman"/>
          <w:color w:val="000000"/>
          <w:sz w:val="24"/>
          <w:szCs w:val="24"/>
        </w:rPr>
        <w:t>] [</w:t>
      </w:r>
      <w:hyperlink r:id="rId179" w:tgtFrame="_blank" w:history="1">
        <w:r w:rsidRPr="00155B11">
          <w:rPr>
            <w:rFonts w:ascii="Times New Roman" w:eastAsia="Times New Roman" w:hAnsi="Times New Roman" w:cs="Times New Roman"/>
            <w:color w:val="2F4A8B"/>
            <w:sz w:val="24"/>
            <w:szCs w:val="24"/>
            <w:u w:val="single"/>
          </w:rPr>
          <w:t>Google Scholar</w:t>
        </w:r>
      </w:hyperlink>
      <w:r w:rsidRPr="00155B11">
        <w:rPr>
          <w:rFonts w:ascii="Times New Roman" w:eastAsia="Times New Roman" w:hAnsi="Times New Roman" w:cs="Times New Roman"/>
          <w:color w:val="000000"/>
          <w:sz w:val="24"/>
          <w:szCs w:val="24"/>
        </w:rPr>
        <w:t>]</w:t>
      </w:r>
    </w:p>
    <w:p w:rsidR="00155B11" w:rsidRPr="00155B11" w:rsidRDefault="00155B11" w:rsidP="00155B11">
      <w:pPr>
        <w:shd w:val="clear" w:color="auto" w:fill="FFFFFF"/>
        <w:spacing w:line="240" w:lineRule="auto"/>
        <w:rPr>
          <w:rFonts w:ascii="Times New Roman" w:eastAsia="Times New Roman" w:hAnsi="Times New Roman" w:cs="Times New Roman"/>
          <w:color w:val="000000"/>
          <w:sz w:val="24"/>
          <w:szCs w:val="24"/>
        </w:rPr>
      </w:pPr>
      <w:r w:rsidRPr="00155B11">
        <w:rPr>
          <w:rFonts w:ascii="Times New Roman" w:eastAsia="Times New Roman" w:hAnsi="Times New Roman" w:cs="Times New Roman"/>
          <w:color w:val="000000"/>
          <w:sz w:val="24"/>
          <w:szCs w:val="24"/>
        </w:rPr>
        <w:t>34. George JN, Li X, McMinn JR, Terrell DR, Vesely SK, Selby GB. Thrombotic thrombocytopenic purpura-hemolytic uremic syndrome following allogeneic HPC transplantation: a diagnostic dilemma. </w:t>
      </w:r>
      <w:r w:rsidRPr="00155B11">
        <w:rPr>
          <w:rFonts w:ascii="Times New Roman" w:eastAsia="Times New Roman" w:hAnsi="Times New Roman" w:cs="Times New Roman"/>
          <w:i/>
          <w:iCs/>
          <w:color w:val="000000"/>
          <w:sz w:val="24"/>
          <w:szCs w:val="24"/>
        </w:rPr>
        <w:t>Transfusion. </w:t>
      </w:r>
      <w:r w:rsidRPr="00155B11">
        <w:rPr>
          <w:rFonts w:ascii="Times New Roman" w:eastAsia="Times New Roman" w:hAnsi="Times New Roman" w:cs="Times New Roman"/>
          <w:color w:val="000000"/>
          <w:sz w:val="24"/>
          <w:szCs w:val="24"/>
        </w:rPr>
        <w:t>2004;44(2):294–304. [</w:t>
      </w:r>
      <w:hyperlink r:id="rId180" w:history="1">
        <w:r w:rsidRPr="00155B11">
          <w:rPr>
            <w:rFonts w:ascii="Times New Roman" w:eastAsia="Times New Roman" w:hAnsi="Times New Roman" w:cs="Times New Roman"/>
            <w:color w:val="2F4A8B"/>
            <w:sz w:val="24"/>
            <w:szCs w:val="24"/>
            <w:u w:val="single"/>
          </w:rPr>
          <w:t>PubMed</w:t>
        </w:r>
      </w:hyperlink>
      <w:r w:rsidRPr="00155B11">
        <w:rPr>
          <w:rFonts w:ascii="Times New Roman" w:eastAsia="Times New Roman" w:hAnsi="Times New Roman" w:cs="Times New Roman"/>
          <w:color w:val="000000"/>
          <w:sz w:val="24"/>
          <w:szCs w:val="24"/>
        </w:rPr>
        <w:t>] [</w:t>
      </w:r>
      <w:hyperlink r:id="rId181" w:tgtFrame="_blank" w:history="1">
        <w:r w:rsidRPr="00155B11">
          <w:rPr>
            <w:rFonts w:ascii="Times New Roman" w:eastAsia="Times New Roman" w:hAnsi="Times New Roman" w:cs="Times New Roman"/>
            <w:color w:val="2F4A8B"/>
            <w:sz w:val="24"/>
            <w:szCs w:val="24"/>
            <w:u w:val="single"/>
          </w:rPr>
          <w:t>Google Scholar</w:t>
        </w:r>
      </w:hyperlink>
      <w:r w:rsidRPr="00155B11">
        <w:rPr>
          <w:rFonts w:ascii="Times New Roman" w:eastAsia="Times New Roman" w:hAnsi="Times New Roman" w:cs="Times New Roman"/>
          <w:color w:val="000000"/>
          <w:sz w:val="24"/>
          <w:szCs w:val="24"/>
        </w:rPr>
        <w:t>]</w:t>
      </w:r>
    </w:p>
    <w:p w:rsidR="00155B11" w:rsidRPr="00155B11" w:rsidRDefault="00155B11" w:rsidP="00155B11">
      <w:pPr>
        <w:shd w:val="clear" w:color="auto" w:fill="FFFFFF"/>
        <w:spacing w:line="240" w:lineRule="auto"/>
        <w:rPr>
          <w:rFonts w:ascii="Times New Roman" w:eastAsia="Times New Roman" w:hAnsi="Times New Roman" w:cs="Times New Roman"/>
          <w:color w:val="000000"/>
          <w:sz w:val="24"/>
          <w:szCs w:val="24"/>
        </w:rPr>
      </w:pPr>
      <w:r w:rsidRPr="00155B11">
        <w:rPr>
          <w:rFonts w:ascii="Times New Roman" w:eastAsia="Times New Roman" w:hAnsi="Times New Roman" w:cs="Times New Roman"/>
          <w:color w:val="000000"/>
          <w:sz w:val="24"/>
          <w:szCs w:val="24"/>
        </w:rPr>
        <w:t>35. Elliott MA, Nichols WL, Jr, Plumhoff EA, et al. Posttransplantation thrombotic thrombocytopenic purpura: a single-center experience and a contemporary review. </w:t>
      </w:r>
      <w:r w:rsidRPr="00155B11">
        <w:rPr>
          <w:rFonts w:ascii="Times New Roman" w:eastAsia="Times New Roman" w:hAnsi="Times New Roman" w:cs="Times New Roman"/>
          <w:i/>
          <w:iCs/>
          <w:color w:val="000000"/>
          <w:sz w:val="24"/>
          <w:szCs w:val="24"/>
        </w:rPr>
        <w:t>Mayo Clin Proc. </w:t>
      </w:r>
      <w:r w:rsidRPr="00155B11">
        <w:rPr>
          <w:rFonts w:ascii="Times New Roman" w:eastAsia="Times New Roman" w:hAnsi="Times New Roman" w:cs="Times New Roman"/>
          <w:color w:val="000000"/>
          <w:sz w:val="24"/>
          <w:szCs w:val="24"/>
        </w:rPr>
        <w:t>2003;78(4):421–430. [</w:t>
      </w:r>
      <w:hyperlink r:id="rId182" w:history="1">
        <w:r w:rsidRPr="00155B11">
          <w:rPr>
            <w:rFonts w:ascii="Times New Roman" w:eastAsia="Times New Roman" w:hAnsi="Times New Roman" w:cs="Times New Roman"/>
            <w:color w:val="2F4A8B"/>
            <w:sz w:val="24"/>
            <w:szCs w:val="24"/>
            <w:u w:val="single"/>
          </w:rPr>
          <w:t>PubMed</w:t>
        </w:r>
      </w:hyperlink>
      <w:r w:rsidRPr="00155B11">
        <w:rPr>
          <w:rFonts w:ascii="Times New Roman" w:eastAsia="Times New Roman" w:hAnsi="Times New Roman" w:cs="Times New Roman"/>
          <w:color w:val="000000"/>
          <w:sz w:val="24"/>
          <w:szCs w:val="24"/>
        </w:rPr>
        <w:t>] [</w:t>
      </w:r>
      <w:hyperlink r:id="rId183" w:tgtFrame="_blank" w:history="1">
        <w:r w:rsidRPr="00155B11">
          <w:rPr>
            <w:rFonts w:ascii="Times New Roman" w:eastAsia="Times New Roman" w:hAnsi="Times New Roman" w:cs="Times New Roman"/>
            <w:color w:val="2F4A8B"/>
            <w:sz w:val="24"/>
            <w:szCs w:val="24"/>
            <w:u w:val="single"/>
          </w:rPr>
          <w:t>Google Scholar</w:t>
        </w:r>
      </w:hyperlink>
      <w:r w:rsidRPr="00155B11">
        <w:rPr>
          <w:rFonts w:ascii="Times New Roman" w:eastAsia="Times New Roman" w:hAnsi="Times New Roman" w:cs="Times New Roman"/>
          <w:color w:val="000000"/>
          <w:sz w:val="24"/>
          <w:szCs w:val="24"/>
        </w:rPr>
        <w:t>]</w:t>
      </w:r>
    </w:p>
    <w:p w:rsidR="00155B11" w:rsidRPr="00155B11" w:rsidRDefault="00155B11" w:rsidP="00155B11">
      <w:pPr>
        <w:shd w:val="clear" w:color="auto" w:fill="FFFFFF"/>
        <w:spacing w:line="240" w:lineRule="auto"/>
        <w:rPr>
          <w:rFonts w:ascii="Times New Roman" w:eastAsia="Times New Roman" w:hAnsi="Times New Roman" w:cs="Times New Roman"/>
          <w:color w:val="000000"/>
          <w:sz w:val="24"/>
          <w:szCs w:val="24"/>
        </w:rPr>
      </w:pPr>
      <w:r w:rsidRPr="00155B11">
        <w:rPr>
          <w:rFonts w:ascii="Times New Roman" w:eastAsia="Times New Roman" w:hAnsi="Times New Roman" w:cs="Times New Roman"/>
          <w:color w:val="000000"/>
          <w:sz w:val="24"/>
          <w:szCs w:val="24"/>
        </w:rPr>
        <w:t>36. Siami K, Kojouri K, Swisher KK, Selby GB, George JN, Laszik ZG. Thrombotic microangiopathy after allogeneic hematopoietic stem cell transplantation: an autopsy study. </w:t>
      </w:r>
      <w:r w:rsidRPr="00155B11">
        <w:rPr>
          <w:rFonts w:ascii="Times New Roman" w:eastAsia="Times New Roman" w:hAnsi="Times New Roman" w:cs="Times New Roman"/>
          <w:i/>
          <w:iCs/>
          <w:color w:val="000000"/>
          <w:sz w:val="24"/>
          <w:szCs w:val="24"/>
        </w:rPr>
        <w:t>Transplantation. </w:t>
      </w:r>
      <w:r w:rsidRPr="00155B11">
        <w:rPr>
          <w:rFonts w:ascii="Times New Roman" w:eastAsia="Times New Roman" w:hAnsi="Times New Roman" w:cs="Times New Roman"/>
          <w:color w:val="000000"/>
          <w:sz w:val="24"/>
          <w:szCs w:val="24"/>
        </w:rPr>
        <w:t>2008;85(1):22–28. [</w:t>
      </w:r>
      <w:hyperlink r:id="rId184" w:history="1">
        <w:r w:rsidRPr="00155B11">
          <w:rPr>
            <w:rFonts w:ascii="Times New Roman" w:eastAsia="Times New Roman" w:hAnsi="Times New Roman" w:cs="Times New Roman"/>
            <w:color w:val="2F4A8B"/>
            <w:sz w:val="24"/>
            <w:szCs w:val="24"/>
            <w:u w:val="single"/>
          </w:rPr>
          <w:t>PubMed</w:t>
        </w:r>
      </w:hyperlink>
      <w:r w:rsidRPr="00155B11">
        <w:rPr>
          <w:rFonts w:ascii="Times New Roman" w:eastAsia="Times New Roman" w:hAnsi="Times New Roman" w:cs="Times New Roman"/>
          <w:color w:val="000000"/>
          <w:sz w:val="24"/>
          <w:szCs w:val="24"/>
        </w:rPr>
        <w:t>] [</w:t>
      </w:r>
      <w:hyperlink r:id="rId185" w:tgtFrame="_blank" w:history="1">
        <w:r w:rsidRPr="00155B11">
          <w:rPr>
            <w:rFonts w:ascii="Times New Roman" w:eastAsia="Times New Roman" w:hAnsi="Times New Roman" w:cs="Times New Roman"/>
            <w:color w:val="2F4A8B"/>
            <w:sz w:val="24"/>
            <w:szCs w:val="24"/>
            <w:u w:val="single"/>
          </w:rPr>
          <w:t>Google Scholar</w:t>
        </w:r>
      </w:hyperlink>
      <w:r w:rsidRPr="00155B11">
        <w:rPr>
          <w:rFonts w:ascii="Times New Roman" w:eastAsia="Times New Roman" w:hAnsi="Times New Roman" w:cs="Times New Roman"/>
          <w:color w:val="000000"/>
          <w:sz w:val="24"/>
          <w:szCs w:val="24"/>
        </w:rPr>
        <w:t>]</w:t>
      </w:r>
    </w:p>
    <w:p w:rsidR="00155B11" w:rsidRPr="00155B11" w:rsidRDefault="00155B11" w:rsidP="00155B11">
      <w:pPr>
        <w:shd w:val="clear" w:color="auto" w:fill="FFFFFF"/>
        <w:spacing w:line="240" w:lineRule="auto"/>
        <w:rPr>
          <w:rFonts w:ascii="Times New Roman" w:eastAsia="Times New Roman" w:hAnsi="Times New Roman" w:cs="Times New Roman"/>
          <w:color w:val="000000"/>
          <w:sz w:val="24"/>
          <w:szCs w:val="24"/>
        </w:rPr>
      </w:pPr>
      <w:r w:rsidRPr="00155B11">
        <w:rPr>
          <w:rFonts w:ascii="Times New Roman" w:eastAsia="Times New Roman" w:hAnsi="Times New Roman" w:cs="Times New Roman"/>
          <w:color w:val="000000"/>
          <w:sz w:val="24"/>
          <w:szCs w:val="24"/>
        </w:rPr>
        <w:t>37. Kennedy GA, Kearey N, Bleakley S, Butler J, Mudie K, Durrant S. Transplantation-associated thrombotic microangiopathy: effect of concomitant GVHD on efficacy of therapeutic plasma exchange. </w:t>
      </w:r>
      <w:r w:rsidRPr="00155B11">
        <w:rPr>
          <w:rFonts w:ascii="Times New Roman" w:eastAsia="Times New Roman" w:hAnsi="Times New Roman" w:cs="Times New Roman"/>
          <w:i/>
          <w:iCs/>
          <w:color w:val="000000"/>
          <w:sz w:val="24"/>
          <w:szCs w:val="24"/>
        </w:rPr>
        <w:t>Bone Marrow Transplant. </w:t>
      </w:r>
      <w:r w:rsidRPr="00155B11">
        <w:rPr>
          <w:rFonts w:ascii="Times New Roman" w:eastAsia="Times New Roman" w:hAnsi="Times New Roman" w:cs="Times New Roman"/>
          <w:color w:val="000000"/>
          <w:sz w:val="24"/>
          <w:szCs w:val="24"/>
        </w:rPr>
        <w:t>2010;45(4):699–704. [</w:t>
      </w:r>
      <w:hyperlink r:id="rId186" w:history="1">
        <w:r w:rsidRPr="00155B11">
          <w:rPr>
            <w:rFonts w:ascii="Times New Roman" w:eastAsia="Times New Roman" w:hAnsi="Times New Roman" w:cs="Times New Roman"/>
            <w:color w:val="2F4A8B"/>
            <w:sz w:val="24"/>
            <w:szCs w:val="24"/>
            <w:u w:val="single"/>
          </w:rPr>
          <w:t>PubMed</w:t>
        </w:r>
      </w:hyperlink>
      <w:r w:rsidRPr="00155B11">
        <w:rPr>
          <w:rFonts w:ascii="Times New Roman" w:eastAsia="Times New Roman" w:hAnsi="Times New Roman" w:cs="Times New Roman"/>
          <w:color w:val="000000"/>
          <w:sz w:val="24"/>
          <w:szCs w:val="24"/>
        </w:rPr>
        <w:t>] [</w:t>
      </w:r>
      <w:hyperlink r:id="rId187" w:tgtFrame="_blank" w:history="1">
        <w:r w:rsidRPr="00155B11">
          <w:rPr>
            <w:rFonts w:ascii="Times New Roman" w:eastAsia="Times New Roman" w:hAnsi="Times New Roman" w:cs="Times New Roman"/>
            <w:color w:val="2F4A8B"/>
            <w:sz w:val="24"/>
            <w:szCs w:val="24"/>
            <w:u w:val="single"/>
          </w:rPr>
          <w:t>Google Scholar</w:t>
        </w:r>
      </w:hyperlink>
      <w:r w:rsidRPr="00155B11">
        <w:rPr>
          <w:rFonts w:ascii="Times New Roman" w:eastAsia="Times New Roman" w:hAnsi="Times New Roman" w:cs="Times New Roman"/>
          <w:color w:val="000000"/>
          <w:sz w:val="24"/>
          <w:szCs w:val="24"/>
        </w:rPr>
        <w:t>]</w:t>
      </w:r>
    </w:p>
    <w:p w:rsidR="00155B11" w:rsidRPr="00155B11" w:rsidRDefault="00155B11" w:rsidP="00155B11">
      <w:pPr>
        <w:shd w:val="clear" w:color="auto" w:fill="FFFFFF"/>
        <w:spacing w:line="240" w:lineRule="auto"/>
        <w:rPr>
          <w:rFonts w:ascii="Times New Roman" w:eastAsia="Times New Roman" w:hAnsi="Times New Roman" w:cs="Times New Roman"/>
          <w:color w:val="000000"/>
          <w:sz w:val="24"/>
          <w:szCs w:val="24"/>
        </w:rPr>
      </w:pPr>
      <w:r w:rsidRPr="00155B11">
        <w:rPr>
          <w:rFonts w:ascii="Times New Roman" w:eastAsia="Times New Roman" w:hAnsi="Times New Roman" w:cs="Times New Roman"/>
          <w:color w:val="000000"/>
          <w:sz w:val="24"/>
          <w:szCs w:val="24"/>
        </w:rPr>
        <w:t>38. Oran B, Donato M, Aleman A, et al. Transplant-associated microangiopathy in patients receiving tacrolimus following allogeneic stem cell transplantation: risk factors and response to treatment. </w:t>
      </w:r>
      <w:r w:rsidRPr="00155B11">
        <w:rPr>
          <w:rFonts w:ascii="Times New Roman" w:eastAsia="Times New Roman" w:hAnsi="Times New Roman" w:cs="Times New Roman"/>
          <w:i/>
          <w:iCs/>
          <w:color w:val="000000"/>
          <w:sz w:val="24"/>
          <w:szCs w:val="24"/>
        </w:rPr>
        <w:t>Biol Blood Marrow Transplant. </w:t>
      </w:r>
      <w:r w:rsidRPr="00155B11">
        <w:rPr>
          <w:rFonts w:ascii="Times New Roman" w:eastAsia="Times New Roman" w:hAnsi="Times New Roman" w:cs="Times New Roman"/>
          <w:color w:val="000000"/>
          <w:sz w:val="24"/>
          <w:szCs w:val="24"/>
        </w:rPr>
        <w:t>2007;13(4):469–477. [</w:t>
      </w:r>
      <w:hyperlink r:id="rId188" w:history="1">
        <w:r w:rsidRPr="00155B11">
          <w:rPr>
            <w:rFonts w:ascii="Times New Roman" w:eastAsia="Times New Roman" w:hAnsi="Times New Roman" w:cs="Times New Roman"/>
            <w:color w:val="2F4A8B"/>
            <w:sz w:val="24"/>
            <w:szCs w:val="24"/>
            <w:u w:val="single"/>
          </w:rPr>
          <w:t>PubMed</w:t>
        </w:r>
      </w:hyperlink>
      <w:r w:rsidRPr="00155B11">
        <w:rPr>
          <w:rFonts w:ascii="Times New Roman" w:eastAsia="Times New Roman" w:hAnsi="Times New Roman" w:cs="Times New Roman"/>
          <w:color w:val="000000"/>
          <w:sz w:val="24"/>
          <w:szCs w:val="24"/>
        </w:rPr>
        <w:t>] [</w:t>
      </w:r>
      <w:hyperlink r:id="rId189" w:tgtFrame="_blank" w:history="1">
        <w:r w:rsidRPr="00155B11">
          <w:rPr>
            <w:rFonts w:ascii="Times New Roman" w:eastAsia="Times New Roman" w:hAnsi="Times New Roman" w:cs="Times New Roman"/>
            <w:color w:val="2F4A8B"/>
            <w:sz w:val="24"/>
            <w:szCs w:val="24"/>
            <w:u w:val="single"/>
          </w:rPr>
          <w:t>Google Scholar</w:t>
        </w:r>
      </w:hyperlink>
      <w:r w:rsidRPr="00155B11">
        <w:rPr>
          <w:rFonts w:ascii="Times New Roman" w:eastAsia="Times New Roman" w:hAnsi="Times New Roman" w:cs="Times New Roman"/>
          <w:color w:val="000000"/>
          <w:sz w:val="24"/>
          <w:szCs w:val="24"/>
        </w:rPr>
        <w:t>]</w:t>
      </w:r>
    </w:p>
    <w:p w:rsidR="00155B11" w:rsidRPr="00155B11" w:rsidRDefault="00155B11" w:rsidP="00155B11">
      <w:pPr>
        <w:shd w:val="clear" w:color="auto" w:fill="FFFFFF"/>
        <w:spacing w:line="240" w:lineRule="auto"/>
        <w:rPr>
          <w:rFonts w:ascii="Times New Roman" w:eastAsia="Times New Roman" w:hAnsi="Times New Roman" w:cs="Times New Roman"/>
          <w:color w:val="000000"/>
          <w:sz w:val="24"/>
          <w:szCs w:val="24"/>
        </w:rPr>
      </w:pPr>
      <w:r w:rsidRPr="00155B11">
        <w:rPr>
          <w:rFonts w:ascii="Times New Roman" w:eastAsia="Times New Roman" w:hAnsi="Times New Roman" w:cs="Times New Roman"/>
          <w:color w:val="000000"/>
          <w:sz w:val="24"/>
          <w:szCs w:val="24"/>
        </w:rPr>
        <w:t>39. Christidou F, Athanasiadou A, Kalogiannidis P, et al. Therapeutic plasma exchange in patients with grade 2–3 hematopoietic stem cell transplantation-associated thrombotic thrombocytopenic purpura: a ten-year experience. </w:t>
      </w:r>
      <w:r w:rsidRPr="00155B11">
        <w:rPr>
          <w:rFonts w:ascii="Times New Roman" w:eastAsia="Times New Roman" w:hAnsi="Times New Roman" w:cs="Times New Roman"/>
          <w:i/>
          <w:iCs/>
          <w:color w:val="000000"/>
          <w:sz w:val="24"/>
          <w:szCs w:val="24"/>
        </w:rPr>
        <w:t>Ther Apher Dial. </w:t>
      </w:r>
      <w:r w:rsidRPr="00155B11">
        <w:rPr>
          <w:rFonts w:ascii="Times New Roman" w:eastAsia="Times New Roman" w:hAnsi="Times New Roman" w:cs="Times New Roman"/>
          <w:color w:val="000000"/>
          <w:sz w:val="24"/>
          <w:szCs w:val="24"/>
        </w:rPr>
        <w:t>2003;7(2):259–262. [</w:t>
      </w:r>
      <w:hyperlink r:id="rId190" w:history="1">
        <w:r w:rsidRPr="00155B11">
          <w:rPr>
            <w:rFonts w:ascii="Times New Roman" w:eastAsia="Times New Roman" w:hAnsi="Times New Roman" w:cs="Times New Roman"/>
            <w:color w:val="2F4A8B"/>
            <w:sz w:val="24"/>
            <w:szCs w:val="24"/>
            <w:u w:val="single"/>
          </w:rPr>
          <w:t>PubMed</w:t>
        </w:r>
      </w:hyperlink>
      <w:r w:rsidRPr="00155B11">
        <w:rPr>
          <w:rFonts w:ascii="Times New Roman" w:eastAsia="Times New Roman" w:hAnsi="Times New Roman" w:cs="Times New Roman"/>
          <w:color w:val="000000"/>
          <w:sz w:val="24"/>
          <w:szCs w:val="24"/>
        </w:rPr>
        <w:t>] [</w:t>
      </w:r>
      <w:hyperlink r:id="rId191" w:tgtFrame="_blank" w:history="1">
        <w:r w:rsidRPr="00155B11">
          <w:rPr>
            <w:rFonts w:ascii="Times New Roman" w:eastAsia="Times New Roman" w:hAnsi="Times New Roman" w:cs="Times New Roman"/>
            <w:color w:val="2F4A8B"/>
            <w:sz w:val="24"/>
            <w:szCs w:val="24"/>
            <w:u w:val="single"/>
          </w:rPr>
          <w:t>Google Scholar</w:t>
        </w:r>
      </w:hyperlink>
      <w:r w:rsidRPr="00155B11">
        <w:rPr>
          <w:rFonts w:ascii="Times New Roman" w:eastAsia="Times New Roman" w:hAnsi="Times New Roman" w:cs="Times New Roman"/>
          <w:color w:val="000000"/>
          <w:sz w:val="24"/>
          <w:szCs w:val="24"/>
        </w:rPr>
        <w:t>]</w:t>
      </w:r>
    </w:p>
    <w:p w:rsidR="00155B11" w:rsidRPr="00155B11" w:rsidRDefault="00155B11" w:rsidP="00155B11">
      <w:pPr>
        <w:shd w:val="clear" w:color="auto" w:fill="FFFFFF"/>
        <w:spacing w:line="240" w:lineRule="auto"/>
        <w:rPr>
          <w:rFonts w:ascii="Times New Roman" w:eastAsia="Times New Roman" w:hAnsi="Times New Roman" w:cs="Times New Roman"/>
          <w:color w:val="000000"/>
          <w:sz w:val="24"/>
          <w:szCs w:val="24"/>
        </w:rPr>
      </w:pPr>
      <w:r w:rsidRPr="00155B11">
        <w:rPr>
          <w:rFonts w:ascii="Times New Roman" w:eastAsia="Times New Roman" w:hAnsi="Times New Roman" w:cs="Times New Roman"/>
          <w:color w:val="000000"/>
          <w:sz w:val="24"/>
          <w:szCs w:val="24"/>
        </w:rPr>
        <w:t xml:space="preserve">40. Zakarija A, Kwaan HC, Moake JL, et al. Ticlopidine- and clopidogrel-associated thrombotic thrombocytopenic purpura (TTP): review of clinical, laboratory, epidemiological, and </w:t>
      </w:r>
      <w:r w:rsidRPr="00155B11">
        <w:rPr>
          <w:rFonts w:ascii="Times New Roman" w:eastAsia="Times New Roman" w:hAnsi="Times New Roman" w:cs="Times New Roman"/>
          <w:color w:val="000000"/>
          <w:sz w:val="24"/>
          <w:szCs w:val="24"/>
        </w:rPr>
        <w:lastRenderedPageBreak/>
        <w:t>pharmacovigilance findings (1989–2008) </w:t>
      </w:r>
      <w:r w:rsidRPr="00155B11">
        <w:rPr>
          <w:rFonts w:ascii="Times New Roman" w:eastAsia="Times New Roman" w:hAnsi="Times New Roman" w:cs="Times New Roman"/>
          <w:i/>
          <w:iCs/>
          <w:color w:val="000000"/>
          <w:sz w:val="24"/>
          <w:szCs w:val="24"/>
        </w:rPr>
        <w:t>Kidney Int Suppl. </w:t>
      </w:r>
      <w:r w:rsidRPr="00155B11">
        <w:rPr>
          <w:rFonts w:ascii="Times New Roman" w:eastAsia="Times New Roman" w:hAnsi="Times New Roman" w:cs="Times New Roman"/>
          <w:color w:val="000000"/>
          <w:sz w:val="24"/>
          <w:szCs w:val="24"/>
        </w:rPr>
        <w:t>2009;112:S20–S24. [</w:t>
      </w:r>
      <w:hyperlink r:id="rId192" w:history="1">
        <w:r w:rsidRPr="00155B11">
          <w:rPr>
            <w:rFonts w:ascii="Times New Roman" w:eastAsia="Times New Roman" w:hAnsi="Times New Roman" w:cs="Times New Roman"/>
            <w:color w:val="2F4A8B"/>
            <w:sz w:val="24"/>
            <w:szCs w:val="24"/>
            <w:u w:val="single"/>
          </w:rPr>
          <w:t>PMC free article</w:t>
        </w:r>
      </w:hyperlink>
      <w:r w:rsidRPr="00155B11">
        <w:rPr>
          <w:rFonts w:ascii="Times New Roman" w:eastAsia="Times New Roman" w:hAnsi="Times New Roman" w:cs="Times New Roman"/>
          <w:color w:val="000000"/>
          <w:sz w:val="24"/>
          <w:szCs w:val="24"/>
        </w:rPr>
        <w:t>] [</w:t>
      </w:r>
      <w:hyperlink r:id="rId193" w:history="1">
        <w:r w:rsidRPr="00155B11">
          <w:rPr>
            <w:rFonts w:ascii="Times New Roman" w:eastAsia="Times New Roman" w:hAnsi="Times New Roman" w:cs="Times New Roman"/>
            <w:color w:val="2F4A8B"/>
            <w:sz w:val="24"/>
            <w:szCs w:val="24"/>
            <w:u w:val="single"/>
          </w:rPr>
          <w:t>PubMed</w:t>
        </w:r>
      </w:hyperlink>
      <w:r w:rsidRPr="00155B11">
        <w:rPr>
          <w:rFonts w:ascii="Times New Roman" w:eastAsia="Times New Roman" w:hAnsi="Times New Roman" w:cs="Times New Roman"/>
          <w:color w:val="000000"/>
          <w:sz w:val="24"/>
          <w:szCs w:val="24"/>
        </w:rPr>
        <w:t>] [</w:t>
      </w:r>
      <w:hyperlink r:id="rId194" w:tgtFrame="_blank" w:history="1">
        <w:r w:rsidRPr="00155B11">
          <w:rPr>
            <w:rFonts w:ascii="Times New Roman" w:eastAsia="Times New Roman" w:hAnsi="Times New Roman" w:cs="Times New Roman"/>
            <w:color w:val="2F4A8B"/>
            <w:sz w:val="24"/>
            <w:szCs w:val="24"/>
            <w:u w:val="single"/>
          </w:rPr>
          <w:t>Google Scholar</w:t>
        </w:r>
      </w:hyperlink>
      <w:r w:rsidRPr="00155B11">
        <w:rPr>
          <w:rFonts w:ascii="Times New Roman" w:eastAsia="Times New Roman" w:hAnsi="Times New Roman" w:cs="Times New Roman"/>
          <w:color w:val="000000"/>
          <w:sz w:val="24"/>
          <w:szCs w:val="24"/>
        </w:rPr>
        <w:t>]</w:t>
      </w:r>
    </w:p>
    <w:p w:rsidR="00155B11" w:rsidRPr="00155B11" w:rsidRDefault="00155B11" w:rsidP="00155B11">
      <w:pPr>
        <w:shd w:val="clear" w:color="auto" w:fill="FFFFFF"/>
        <w:spacing w:line="240" w:lineRule="auto"/>
        <w:rPr>
          <w:rFonts w:ascii="Times New Roman" w:eastAsia="Times New Roman" w:hAnsi="Times New Roman" w:cs="Times New Roman"/>
          <w:color w:val="000000"/>
          <w:sz w:val="24"/>
          <w:szCs w:val="24"/>
        </w:rPr>
      </w:pPr>
      <w:r w:rsidRPr="00155B11">
        <w:rPr>
          <w:rFonts w:ascii="Times New Roman" w:eastAsia="Times New Roman" w:hAnsi="Times New Roman" w:cs="Times New Roman"/>
          <w:color w:val="000000"/>
          <w:sz w:val="24"/>
          <w:szCs w:val="24"/>
        </w:rPr>
        <w:t>41. Bennett CL, Kim B, Zakarija A, et al. Two mechanistic pathways for thienopyridine-associated thrombotic thrombocytopenic purpura: a report from the SERF-TTP Research Group and the RADAR Project. </w:t>
      </w:r>
      <w:r w:rsidRPr="00155B11">
        <w:rPr>
          <w:rFonts w:ascii="Times New Roman" w:eastAsia="Times New Roman" w:hAnsi="Times New Roman" w:cs="Times New Roman"/>
          <w:i/>
          <w:iCs/>
          <w:color w:val="000000"/>
          <w:sz w:val="24"/>
          <w:szCs w:val="24"/>
        </w:rPr>
        <w:t>J Am Coll Cardiol. </w:t>
      </w:r>
      <w:r w:rsidRPr="00155B11">
        <w:rPr>
          <w:rFonts w:ascii="Times New Roman" w:eastAsia="Times New Roman" w:hAnsi="Times New Roman" w:cs="Times New Roman"/>
          <w:color w:val="000000"/>
          <w:sz w:val="24"/>
          <w:szCs w:val="24"/>
        </w:rPr>
        <w:t>2007;50(12):1138–1143. [</w:t>
      </w:r>
      <w:hyperlink r:id="rId195" w:history="1">
        <w:r w:rsidRPr="00155B11">
          <w:rPr>
            <w:rFonts w:ascii="Times New Roman" w:eastAsia="Times New Roman" w:hAnsi="Times New Roman" w:cs="Times New Roman"/>
            <w:color w:val="2F4A8B"/>
            <w:sz w:val="24"/>
            <w:szCs w:val="24"/>
            <w:u w:val="single"/>
          </w:rPr>
          <w:t>PMC free article</w:t>
        </w:r>
      </w:hyperlink>
      <w:r w:rsidRPr="00155B11">
        <w:rPr>
          <w:rFonts w:ascii="Times New Roman" w:eastAsia="Times New Roman" w:hAnsi="Times New Roman" w:cs="Times New Roman"/>
          <w:color w:val="000000"/>
          <w:sz w:val="24"/>
          <w:szCs w:val="24"/>
        </w:rPr>
        <w:t>] [</w:t>
      </w:r>
      <w:hyperlink r:id="rId196" w:history="1">
        <w:r w:rsidRPr="00155B11">
          <w:rPr>
            <w:rFonts w:ascii="Times New Roman" w:eastAsia="Times New Roman" w:hAnsi="Times New Roman" w:cs="Times New Roman"/>
            <w:color w:val="2F4A8B"/>
            <w:sz w:val="24"/>
            <w:szCs w:val="24"/>
            <w:u w:val="single"/>
          </w:rPr>
          <w:t>PubMed</w:t>
        </w:r>
      </w:hyperlink>
      <w:r w:rsidRPr="00155B11">
        <w:rPr>
          <w:rFonts w:ascii="Times New Roman" w:eastAsia="Times New Roman" w:hAnsi="Times New Roman" w:cs="Times New Roman"/>
          <w:color w:val="000000"/>
          <w:sz w:val="24"/>
          <w:szCs w:val="24"/>
        </w:rPr>
        <w:t>] [</w:t>
      </w:r>
      <w:hyperlink r:id="rId197" w:tgtFrame="_blank" w:history="1">
        <w:r w:rsidRPr="00155B11">
          <w:rPr>
            <w:rFonts w:ascii="Times New Roman" w:eastAsia="Times New Roman" w:hAnsi="Times New Roman" w:cs="Times New Roman"/>
            <w:color w:val="2F4A8B"/>
            <w:sz w:val="24"/>
            <w:szCs w:val="24"/>
            <w:u w:val="single"/>
          </w:rPr>
          <w:t>Google Scholar</w:t>
        </w:r>
      </w:hyperlink>
      <w:r w:rsidRPr="00155B11">
        <w:rPr>
          <w:rFonts w:ascii="Times New Roman" w:eastAsia="Times New Roman" w:hAnsi="Times New Roman" w:cs="Times New Roman"/>
          <w:color w:val="000000"/>
          <w:sz w:val="24"/>
          <w:szCs w:val="24"/>
        </w:rPr>
        <w:t>]</w:t>
      </w:r>
    </w:p>
    <w:p w:rsidR="00155B11" w:rsidRPr="00155B11" w:rsidRDefault="00155B11" w:rsidP="00155B11">
      <w:pPr>
        <w:shd w:val="clear" w:color="auto" w:fill="FFFFFF"/>
        <w:spacing w:line="240" w:lineRule="auto"/>
        <w:rPr>
          <w:rFonts w:ascii="Times New Roman" w:eastAsia="Times New Roman" w:hAnsi="Times New Roman" w:cs="Times New Roman"/>
          <w:color w:val="000000"/>
          <w:sz w:val="24"/>
          <w:szCs w:val="24"/>
        </w:rPr>
      </w:pPr>
      <w:r w:rsidRPr="00155B11">
        <w:rPr>
          <w:rFonts w:ascii="Times New Roman" w:eastAsia="Times New Roman" w:hAnsi="Times New Roman" w:cs="Times New Roman"/>
          <w:color w:val="000000"/>
          <w:sz w:val="24"/>
          <w:szCs w:val="24"/>
        </w:rPr>
        <w:t>42. Naseer N, Aijaz A, Saleem MA, Nelson J, Peterson SJ, Frishman WH. Ticlopidine-associated thrombotic thrombocytopenic purpura. </w:t>
      </w:r>
      <w:r w:rsidRPr="00155B11">
        <w:rPr>
          <w:rFonts w:ascii="Times New Roman" w:eastAsia="Times New Roman" w:hAnsi="Times New Roman" w:cs="Times New Roman"/>
          <w:i/>
          <w:iCs/>
          <w:color w:val="000000"/>
          <w:sz w:val="24"/>
          <w:szCs w:val="24"/>
        </w:rPr>
        <w:t>Heart Dis. </w:t>
      </w:r>
      <w:r w:rsidRPr="00155B11">
        <w:rPr>
          <w:rFonts w:ascii="Times New Roman" w:eastAsia="Times New Roman" w:hAnsi="Times New Roman" w:cs="Times New Roman"/>
          <w:color w:val="000000"/>
          <w:sz w:val="24"/>
          <w:szCs w:val="24"/>
        </w:rPr>
        <w:t>2001;3(4):221–223. [</w:t>
      </w:r>
      <w:hyperlink r:id="rId198" w:history="1">
        <w:r w:rsidRPr="00155B11">
          <w:rPr>
            <w:rFonts w:ascii="Times New Roman" w:eastAsia="Times New Roman" w:hAnsi="Times New Roman" w:cs="Times New Roman"/>
            <w:color w:val="2F4A8B"/>
            <w:sz w:val="24"/>
            <w:szCs w:val="24"/>
            <w:u w:val="single"/>
          </w:rPr>
          <w:t>PubMed</w:t>
        </w:r>
      </w:hyperlink>
      <w:r w:rsidRPr="00155B11">
        <w:rPr>
          <w:rFonts w:ascii="Times New Roman" w:eastAsia="Times New Roman" w:hAnsi="Times New Roman" w:cs="Times New Roman"/>
          <w:color w:val="000000"/>
          <w:sz w:val="24"/>
          <w:szCs w:val="24"/>
        </w:rPr>
        <w:t>] [</w:t>
      </w:r>
      <w:hyperlink r:id="rId199" w:tgtFrame="_blank" w:history="1">
        <w:r w:rsidRPr="00155B11">
          <w:rPr>
            <w:rFonts w:ascii="Times New Roman" w:eastAsia="Times New Roman" w:hAnsi="Times New Roman" w:cs="Times New Roman"/>
            <w:color w:val="2F4A8B"/>
            <w:sz w:val="24"/>
            <w:szCs w:val="24"/>
            <w:u w:val="single"/>
          </w:rPr>
          <w:t>Google Scholar</w:t>
        </w:r>
      </w:hyperlink>
      <w:r w:rsidRPr="00155B11">
        <w:rPr>
          <w:rFonts w:ascii="Times New Roman" w:eastAsia="Times New Roman" w:hAnsi="Times New Roman" w:cs="Times New Roman"/>
          <w:color w:val="000000"/>
          <w:sz w:val="24"/>
          <w:szCs w:val="24"/>
        </w:rPr>
        <w:t>]</w:t>
      </w:r>
    </w:p>
    <w:p w:rsidR="00155B11" w:rsidRPr="00155B11" w:rsidRDefault="00155B11" w:rsidP="00155B11">
      <w:pPr>
        <w:shd w:val="clear" w:color="auto" w:fill="FFFFFF"/>
        <w:spacing w:line="240" w:lineRule="auto"/>
        <w:rPr>
          <w:rFonts w:ascii="Times New Roman" w:eastAsia="Times New Roman" w:hAnsi="Times New Roman" w:cs="Times New Roman"/>
          <w:color w:val="000000"/>
          <w:sz w:val="24"/>
          <w:szCs w:val="24"/>
        </w:rPr>
      </w:pPr>
      <w:r w:rsidRPr="00155B11">
        <w:rPr>
          <w:rFonts w:ascii="Times New Roman" w:eastAsia="Times New Roman" w:hAnsi="Times New Roman" w:cs="Times New Roman"/>
          <w:color w:val="000000"/>
          <w:sz w:val="24"/>
          <w:szCs w:val="24"/>
        </w:rPr>
        <w:t>43. Pham PT, Peng A, Wilkinson AH, et al. Cyclosporine and tacrolimus-associated thrombotic microangiopathy. </w:t>
      </w:r>
      <w:r w:rsidRPr="00155B11">
        <w:rPr>
          <w:rFonts w:ascii="Times New Roman" w:eastAsia="Times New Roman" w:hAnsi="Times New Roman" w:cs="Times New Roman"/>
          <w:i/>
          <w:iCs/>
          <w:color w:val="000000"/>
          <w:sz w:val="24"/>
          <w:szCs w:val="24"/>
        </w:rPr>
        <w:t>Am J Kidney Dis. </w:t>
      </w:r>
      <w:r w:rsidRPr="00155B11">
        <w:rPr>
          <w:rFonts w:ascii="Times New Roman" w:eastAsia="Times New Roman" w:hAnsi="Times New Roman" w:cs="Times New Roman"/>
          <w:color w:val="000000"/>
          <w:sz w:val="24"/>
          <w:szCs w:val="24"/>
        </w:rPr>
        <w:t>2000;36(4):844–850. [</w:t>
      </w:r>
      <w:hyperlink r:id="rId200" w:history="1">
        <w:r w:rsidRPr="00155B11">
          <w:rPr>
            <w:rFonts w:ascii="Times New Roman" w:eastAsia="Times New Roman" w:hAnsi="Times New Roman" w:cs="Times New Roman"/>
            <w:color w:val="2F4A8B"/>
            <w:sz w:val="24"/>
            <w:szCs w:val="24"/>
            <w:u w:val="single"/>
          </w:rPr>
          <w:t>PubMed</w:t>
        </w:r>
      </w:hyperlink>
      <w:r w:rsidRPr="00155B11">
        <w:rPr>
          <w:rFonts w:ascii="Times New Roman" w:eastAsia="Times New Roman" w:hAnsi="Times New Roman" w:cs="Times New Roman"/>
          <w:color w:val="000000"/>
          <w:sz w:val="24"/>
          <w:szCs w:val="24"/>
        </w:rPr>
        <w:t>] [</w:t>
      </w:r>
      <w:hyperlink r:id="rId201" w:tgtFrame="_blank" w:history="1">
        <w:r w:rsidRPr="00155B11">
          <w:rPr>
            <w:rFonts w:ascii="Times New Roman" w:eastAsia="Times New Roman" w:hAnsi="Times New Roman" w:cs="Times New Roman"/>
            <w:color w:val="2F4A8B"/>
            <w:sz w:val="24"/>
            <w:szCs w:val="24"/>
            <w:u w:val="single"/>
          </w:rPr>
          <w:t>Google Scholar</w:t>
        </w:r>
      </w:hyperlink>
      <w:r w:rsidRPr="00155B11">
        <w:rPr>
          <w:rFonts w:ascii="Times New Roman" w:eastAsia="Times New Roman" w:hAnsi="Times New Roman" w:cs="Times New Roman"/>
          <w:color w:val="000000"/>
          <w:sz w:val="24"/>
          <w:szCs w:val="24"/>
        </w:rPr>
        <w:t>]</w:t>
      </w:r>
    </w:p>
    <w:p w:rsidR="00155B11" w:rsidRPr="00155B11" w:rsidRDefault="00155B11" w:rsidP="00155B11">
      <w:pPr>
        <w:shd w:val="clear" w:color="auto" w:fill="FFFFFF"/>
        <w:spacing w:line="240" w:lineRule="auto"/>
        <w:rPr>
          <w:rFonts w:ascii="Times New Roman" w:eastAsia="Times New Roman" w:hAnsi="Times New Roman" w:cs="Times New Roman"/>
          <w:color w:val="000000"/>
          <w:sz w:val="24"/>
          <w:szCs w:val="24"/>
        </w:rPr>
      </w:pPr>
      <w:r w:rsidRPr="00155B11">
        <w:rPr>
          <w:rFonts w:ascii="Times New Roman" w:eastAsia="Times New Roman" w:hAnsi="Times New Roman" w:cs="Times New Roman"/>
          <w:color w:val="000000"/>
          <w:sz w:val="24"/>
          <w:szCs w:val="24"/>
        </w:rPr>
        <w:t>44. Au WY, Lie AK, Lam CC, et al. Tacrolimus (FK 506) induced thrombotic thrombocytopenic purpura after ABO mismatched second liver transplantation: salvage with plasmapheresis and prostacyclin. </w:t>
      </w:r>
      <w:r w:rsidRPr="00155B11">
        <w:rPr>
          <w:rFonts w:ascii="Times New Roman" w:eastAsia="Times New Roman" w:hAnsi="Times New Roman" w:cs="Times New Roman"/>
          <w:i/>
          <w:iCs/>
          <w:color w:val="000000"/>
          <w:sz w:val="24"/>
          <w:szCs w:val="24"/>
        </w:rPr>
        <w:t>Haematologica. </w:t>
      </w:r>
      <w:r w:rsidRPr="00155B11">
        <w:rPr>
          <w:rFonts w:ascii="Times New Roman" w:eastAsia="Times New Roman" w:hAnsi="Times New Roman" w:cs="Times New Roman"/>
          <w:color w:val="000000"/>
          <w:sz w:val="24"/>
          <w:szCs w:val="24"/>
        </w:rPr>
        <w:t>2000;85(6):659–662. [</w:t>
      </w:r>
      <w:hyperlink r:id="rId202" w:history="1">
        <w:r w:rsidRPr="00155B11">
          <w:rPr>
            <w:rFonts w:ascii="Times New Roman" w:eastAsia="Times New Roman" w:hAnsi="Times New Roman" w:cs="Times New Roman"/>
            <w:color w:val="2F4A8B"/>
            <w:sz w:val="24"/>
            <w:szCs w:val="24"/>
            <w:u w:val="single"/>
          </w:rPr>
          <w:t>PubMed</w:t>
        </w:r>
      </w:hyperlink>
      <w:r w:rsidRPr="00155B11">
        <w:rPr>
          <w:rFonts w:ascii="Times New Roman" w:eastAsia="Times New Roman" w:hAnsi="Times New Roman" w:cs="Times New Roman"/>
          <w:color w:val="000000"/>
          <w:sz w:val="24"/>
          <w:szCs w:val="24"/>
        </w:rPr>
        <w:t>] [</w:t>
      </w:r>
      <w:hyperlink r:id="rId203" w:tgtFrame="_blank" w:history="1">
        <w:r w:rsidRPr="00155B11">
          <w:rPr>
            <w:rFonts w:ascii="Times New Roman" w:eastAsia="Times New Roman" w:hAnsi="Times New Roman" w:cs="Times New Roman"/>
            <w:color w:val="2F4A8B"/>
            <w:sz w:val="24"/>
            <w:szCs w:val="24"/>
            <w:u w:val="single"/>
          </w:rPr>
          <w:t>Google Scholar</w:t>
        </w:r>
      </w:hyperlink>
      <w:r w:rsidRPr="00155B11">
        <w:rPr>
          <w:rFonts w:ascii="Times New Roman" w:eastAsia="Times New Roman" w:hAnsi="Times New Roman" w:cs="Times New Roman"/>
          <w:color w:val="000000"/>
          <w:sz w:val="24"/>
          <w:szCs w:val="24"/>
        </w:rPr>
        <w:t>]</w:t>
      </w:r>
    </w:p>
    <w:p w:rsidR="00155B11" w:rsidRPr="00155B11" w:rsidRDefault="00155B11" w:rsidP="00155B11">
      <w:pPr>
        <w:shd w:val="clear" w:color="auto" w:fill="FFFFFF"/>
        <w:spacing w:line="240" w:lineRule="auto"/>
        <w:rPr>
          <w:rFonts w:ascii="Times New Roman" w:eastAsia="Times New Roman" w:hAnsi="Times New Roman" w:cs="Times New Roman"/>
          <w:color w:val="000000"/>
          <w:sz w:val="24"/>
          <w:szCs w:val="24"/>
        </w:rPr>
      </w:pPr>
      <w:r w:rsidRPr="00155B11">
        <w:rPr>
          <w:rFonts w:ascii="Times New Roman" w:eastAsia="Times New Roman" w:hAnsi="Times New Roman" w:cs="Times New Roman"/>
          <w:color w:val="000000"/>
          <w:sz w:val="24"/>
          <w:szCs w:val="24"/>
        </w:rPr>
        <w:t>45. Gupta S, Ttan N, Topolsky D, et al. Thrombotic thrombocytopenic purpura induced by cyclosporin a after allogeneic bone marrow transplantation treated by red blood cell exchange transfusion: a case report. </w:t>
      </w:r>
      <w:r w:rsidRPr="00155B11">
        <w:rPr>
          <w:rFonts w:ascii="Times New Roman" w:eastAsia="Times New Roman" w:hAnsi="Times New Roman" w:cs="Times New Roman"/>
          <w:i/>
          <w:iCs/>
          <w:color w:val="000000"/>
          <w:sz w:val="24"/>
          <w:szCs w:val="24"/>
        </w:rPr>
        <w:t>Am J Hematol. </w:t>
      </w:r>
      <w:r w:rsidRPr="00155B11">
        <w:rPr>
          <w:rFonts w:ascii="Times New Roman" w:eastAsia="Times New Roman" w:hAnsi="Times New Roman" w:cs="Times New Roman"/>
          <w:color w:val="000000"/>
          <w:sz w:val="24"/>
          <w:szCs w:val="24"/>
        </w:rPr>
        <w:t>2005;80(3):246–247. [</w:t>
      </w:r>
      <w:hyperlink r:id="rId204" w:history="1">
        <w:r w:rsidRPr="00155B11">
          <w:rPr>
            <w:rFonts w:ascii="Times New Roman" w:eastAsia="Times New Roman" w:hAnsi="Times New Roman" w:cs="Times New Roman"/>
            <w:color w:val="2F4A8B"/>
            <w:sz w:val="24"/>
            <w:szCs w:val="24"/>
            <w:u w:val="single"/>
          </w:rPr>
          <w:t>PubMed</w:t>
        </w:r>
      </w:hyperlink>
      <w:r w:rsidRPr="00155B11">
        <w:rPr>
          <w:rFonts w:ascii="Times New Roman" w:eastAsia="Times New Roman" w:hAnsi="Times New Roman" w:cs="Times New Roman"/>
          <w:color w:val="000000"/>
          <w:sz w:val="24"/>
          <w:szCs w:val="24"/>
        </w:rPr>
        <w:t>] [</w:t>
      </w:r>
      <w:hyperlink r:id="rId205" w:tgtFrame="_blank" w:history="1">
        <w:r w:rsidRPr="00155B11">
          <w:rPr>
            <w:rFonts w:ascii="Times New Roman" w:eastAsia="Times New Roman" w:hAnsi="Times New Roman" w:cs="Times New Roman"/>
            <w:color w:val="2F4A8B"/>
            <w:sz w:val="24"/>
            <w:szCs w:val="24"/>
            <w:u w:val="single"/>
          </w:rPr>
          <w:t>Google Scholar</w:t>
        </w:r>
      </w:hyperlink>
      <w:r w:rsidRPr="00155B11">
        <w:rPr>
          <w:rFonts w:ascii="Times New Roman" w:eastAsia="Times New Roman" w:hAnsi="Times New Roman" w:cs="Times New Roman"/>
          <w:color w:val="000000"/>
          <w:sz w:val="24"/>
          <w:szCs w:val="24"/>
        </w:rPr>
        <w:t>]</w:t>
      </w:r>
    </w:p>
    <w:p w:rsidR="00155B11" w:rsidRPr="00155B11" w:rsidRDefault="00155B11" w:rsidP="00155B11">
      <w:pPr>
        <w:shd w:val="clear" w:color="auto" w:fill="FFFFFF"/>
        <w:spacing w:line="240" w:lineRule="auto"/>
        <w:rPr>
          <w:rFonts w:ascii="Times New Roman" w:eastAsia="Times New Roman" w:hAnsi="Times New Roman" w:cs="Times New Roman"/>
          <w:color w:val="000000"/>
          <w:sz w:val="24"/>
          <w:szCs w:val="24"/>
        </w:rPr>
      </w:pPr>
      <w:r w:rsidRPr="00155B11">
        <w:rPr>
          <w:rFonts w:ascii="Times New Roman" w:eastAsia="Times New Roman" w:hAnsi="Times New Roman" w:cs="Times New Roman"/>
          <w:color w:val="000000"/>
          <w:sz w:val="24"/>
          <w:szCs w:val="24"/>
        </w:rPr>
        <w:t>46. Nakazawa Y, Hashikura Y, Urata K, et al. Von Willebrand factor--cleaving protease activity in thrombotic microangiopathy after living donor liver transplantation: a case report. </w:t>
      </w:r>
      <w:r w:rsidRPr="00155B11">
        <w:rPr>
          <w:rFonts w:ascii="Times New Roman" w:eastAsia="Times New Roman" w:hAnsi="Times New Roman" w:cs="Times New Roman"/>
          <w:i/>
          <w:iCs/>
          <w:color w:val="000000"/>
          <w:sz w:val="24"/>
          <w:szCs w:val="24"/>
        </w:rPr>
        <w:t>Liver Transpl. </w:t>
      </w:r>
      <w:r w:rsidRPr="00155B11">
        <w:rPr>
          <w:rFonts w:ascii="Times New Roman" w:eastAsia="Times New Roman" w:hAnsi="Times New Roman" w:cs="Times New Roman"/>
          <w:color w:val="000000"/>
          <w:sz w:val="24"/>
          <w:szCs w:val="24"/>
        </w:rPr>
        <w:t>2003;9(12):1328–1333. [</w:t>
      </w:r>
      <w:hyperlink r:id="rId206" w:history="1">
        <w:r w:rsidRPr="00155B11">
          <w:rPr>
            <w:rFonts w:ascii="Times New Roman" w:eastAsia="Times New Roman" w:hAnsi="Times New Roman" w:cs="Times New Roman"/>
            <w:color w:val="2F4A8B"/>
            <w:sz w:val="24"/>
            <w:szCs w:val="24"/>
            <w:u w:val="single"/>
          </w:rPr>
          <w:t>PubMed</w:t>
        </w:r>
      </w:hyperlink>
      <w:r w:rsidRPr="00155B11">
        <w:rPr>
          <w:rFonts w:ascii="Times New Roman" w:eastAsia="Times New Roman" w:hAnsi="Times New Roman" w:cs="Times New Roman"/>
          <w:color w:val="000000"/>
          <w:sz w:val="24"/>
          <w:szCs w:val="24"/>
        </w:rPr>
        <w:t>] [</w:t>
      </w:r>
      <w:hyperlink r:id="rId207" w:tgtFrame="_blank" w:history="1">
        <w:r w:rsidRPr="00155B11">
          <w:rPr>
            <w:rFonts w:ascii="Times New Roman" w:eastAsia="Times New Roman" w:hAnsi="Times New Roman" w:cs="Times New Roman"/>
            <w:color w:val="2F4A8B"/>
            <w:sz w:val="24"/>
            <w:szCs w:val="24"/>
            <w:u w:val="single"/>
          </w:rPr>
          <w:t>Google Scholar</w:t>
        </w:r>
      </w:hyperlink>
      <w:r w:rsidRPr="00155B11">
        <w:rPr>
          <w:rFonts w:ascii="Times New Roman" w:eastAsia="Times New Roman" w:hAnsi="Times New Roman" w:cs="Times New Roman"/>
          <w:color w:val="000000"/>
          <w:sz w:val="24"/>
          <w:szCs w:val="24"/>
        </w:rPr>
        <w:t>]</w:t>
      </w:r>
    </w:p>
    <w:p w:rsidR="00155B11" w:rsidRPr="00155B11" w:rsidRDefault="00155B11" w:rsidP="00155B11">
      <w:pPr>
        <w:shd w:val="clear" w:color="auto" w:fill="FFFFFF"/>
        <w:spacing w:line="240" w:lineRule="auto"/>
        <w:rPr>
          <w:rFonts w:ascii="Times New Roman" w:eastAsia="Times New Roman" w:hAnsi="Times New Roman" w:cs="Times New Roman"/>
          <w:color w:val="000000"/>
          <w:sz w:val="24"/>
          <w:szCs w:val="24"/>
        </w:rPr>
      </w:pPr>
      <w:r w:rsidRPr="00155B11">
        <w:rPr>
          <w:rFonts w:ascii="Times New Roman" w:eastAsia="Times New Roman" w:hAnsi="Times New Roman" w:cs="Times New Roman"/>
          <w:color w:val="000000"/>
          <w:sz w:val="24"/>
          <w:szCs w:val="24"/>
        </w:rPr>
        <w:t>47. Bambauer R, Schwarze U, Schiel R. Cyclosporin A and therapeutic plasma exchange in the treatment of severe systemic lupus erythematosus. </w:t>
      </w:r>
      <w:r w:rsidRPr="00155B11">
        <w:rPr>
          <w:rFonts w:ascii="Times New Roman" w:eastAsia="Times New Roman" w:hAnsi="Times New Roman" w:cs="Times New Roman"/>
          <w:i/>
          <w:iCs/>
          <w:color w:val="000000"/>
          <w:sz w:val="24"/>
          <w:szCs w:val="24"/>
        </w:rPr>
        <w:t>Artif Organs. </w:t>
      </w:r>
      <w:r w:rsidRPr="00155B11">
        <w:rPr>
          <w:rFonts w:ascii="Times New Roman" w:eastAsia="Times New Roman" w:hAnsi="Times New Roman" w:cs="Times New Roman"/>
          <w:color w:val="000000"/>
          <w:sz w:val="24"/>
          <w:szCs w:val="24"/>
        </w:rPr>
        <w:t>2000;24(11):852–856. [</w:t>
      </w:r>
      <w:hyperlink r:id="rId208" w:history="1">
        <w:r w:rsidRPr="00155B11">
          <w:rPr>
            <w:rFonts w:ascii="Times New Roman" w:eastAsia="Times New Roman" w:hAnsi="Times New Roman" w:cs="Times New Roman"/>
            <w:color w:val="2F4A8B"/>
            <w:sz w:val="24"/>
            <w:szCs w:val="24"/>
            <w:u w:val="single"/>
          </w:rPr>
          <w:t>PubMed</w:t>
        </w:r>
      </w:hyperlink>
      <w:r w:rsidRPr="00155B11">
        <w:rPr>
          <w:rFonts w:ascii="Times New Roman" w:eastAsia="Times New Roman" w:hAnsi="Times New Roman" w:cs="Times New Roman"/>
          <w:color w:val="000000"/>
          <w:sz w:val="24"/>
          <w:szCs w:val="24"/>
        </w:rPr>
        <w:t>] [</w:t>
      </w:r>
      <w:hyperlink r:id="rId209" w:tgtFrame="_blank" w:history="1">
        <w:r w:rsidRPr="00155B11">
          <w:rPr>
            <w:rFonts w:ascii="Times New Roman" w:eastAsia="Times New Roman" w:hAnsi="Times New Roman" w:cs="Times New Roman"/>
            <w:color w:val="2F4A8B"/>
            <w:sz w:val="24"/>
            <w:szCs w:val="24"/>
            <w:u w:val="single"/>
          </w:rPr>
          <w:t>Google Scholar</w:t>
        </w:r>
      </w:hyperlink>
      <w:r w:rsidRPr="00155B11">
        <w:rPr>
          <w:rFonts w:ascii="Times New Roman" w:eastAsia="Times New Roman" w:hAnsi="Times New Roman" w:cs="Times New Roman"/>
          <w:color w:val="000000"/>
          <w:sz w:val="24"/>
          <w:szCs w:val="24"/>
        </w:rPr>
        <w:t>]</w:t>
      </w:r>
    </w:p>
    <w:p w:rsidR="00155B11" w:rsidRPr="00155B11" w:rsidRDefault="00155B11" w:rsidP="00155B11">
      <w:pPr>
        <w:shd w:val="clear" w:color="auto" w:fill="FFFFFF"/>
        <w:spacing w:line="240" w:lineRule="auto"/>
        <w:rPr>
          <w:rFonts w:ascii="Times New Roman" w:eastAsia="Times New Roman" w:hAnsi="Times New Roman" w:cs="Times New Roman"/>
          <w:color w:val="000000"/>
          <w:sz w:val="24"/>
          <w:szCs w:val="24"/>
        </w:rPr>
      </w:pPr>
      <w:r w:rsidRPr="00155B11">
        <w:rPr>
          <w:rFonts w:ascii="Times New Roman" w:eastAsia="Times New Roman" w:hAnsi="Times New Roman" w:cs="Times New Roman"/>
          <w:color w:val="000000"/>
          <w:sz w:val="24"/>
          <w:szCs w:val="24"/>
        </w:rPr>
        <w:t>48. Neuwelt CM. The role of plasmapheresis in the treatment of severe central nervous system neuropsychiatric systemic lupus erythematosus. </w:t>
      </w:r>
      <w:r w:rsidRPr="00155B11">
        <w:rPr>
          <w:rFonts w:ascii="Times New Roman" w:eastAsia="Times New Roman" w:hAnsi="Times New Roman" w:cs="Times New Roman"/>
          <w:i/>
          <w:iCs/>
          <w:color w:val="000000"/>
          <w:sz w:val="24"/>
          <w:szCs w:val="24"/>
        </w:rPr>
        <w:t>Ther Apher Dial. </w:t>
      </w:r>
      <w:r w:rsidRPr="00155B11">
        <w:rPr>
          <w:rFonts w:ascii="Times New Roman" w:eastAsia="Times New Roman" w:hAnsi="Times New Roman" w:cs="Times New Roman"/>
          <w:color w:val="000000"/>
          <w:sz w:val="24"/>
          <w:szCs w:val="24"/>
        </w:rPr>
        <w:t>2003;7(2):173–182. [</w:t>
      </w:r>
      <w:hyperlink r:id="rId210" w:history="1">
        <w:r w:rsidRPr="00155B11">
          <w:rPr>
            <w:rFonts w:ascii="Times New Roman" w:eastAsia="Times New Roman" w:hAnsi="Times New Roman" w:cs="Times New Roman"/>
            <w:color w:val="2F4A8B"/>
            <w:sz w:val="24"/>
            <w:szCs w:val="24"/>
            <w:u w:val="single"/>
          </w:rPr>
          <w:t>PubMed</w:t>
        </w:r>
      </w:hyperlink>
      <w:r w:rsidRPr="00155B11">
        <w:rPr>
          <w:rFonts w:ascii="Times New Roman" w:eastAsia="Times New Roman" w:hAnsi="Times New Roman" w:cs="Times New Roman"/>
          <w:color w:val="000000"/>
          <w:sz w:val="24"/>
          <w:szCs w:val="24"/>
        </w:rPr>
        <w:t>] [</w:t>
      </w:r>
      <w:hyperlink r:id="rId211" w:tgtFrame="_blank" w:history="1">
        <w:r w:rsidRPr="00155B11">
          <w:rPr>
            <w:rFonts w:ascii="Times New Roman" w:eastAsia="Times New Roman" w:hAnsi="Times New Roman" w:cs="Times New Roman"/>
            <w:color w:val="2F4A8B"/>
            <w:sz w:val="24"/>
            <w:szCs w:val="24"/>
            <w:u w:val="single"/>
          </w:rPr>
          <w:t>Google Scholar</w:t>
        </w:r>
      </w:hyperlink>
      <w:r w:rsidRPr="00155B11">
        <w:rPr>
          <w:rFonts w:ascii="Times New Roman" w:eastAsia="Times New Roman" w:hAnsi="Times New Roman" w:cs="Times New Roman"/>
          <w:color w:val="000000"/>
          <w:sz w:val="24"/>
          <w:szCs w:val="24"/>
        </w:rPr>
        <w:t>]</w:t>
      </w:r>
    </w:p>
    <w:p w:rsidR="00155B11" w:rsidRPr="00155B11" w:rsidRDefault="00155B11" w:rsidP="00155B11">
      <w:pPr>
        <w:shd w:val="clear" w:color="auto" w:fill="FFFFFF"/>
        <w:spacing w:line="240" w:lineRule="auto"/>
        <w:rPr>
          <w:rFonts w:ascii="Times New Roman" w:eastAsia="Times New Roman" w:hAnsi="Times New Roman" w:cs="Times New Roman"/>
          <w:color w:val="000000"/>
          <w:sz w:val="24"/>
          <w:szCs w:val="24"/>
        </w:rPr>
      </w:pPr>
      <w:r w:rsidRPr="00155B11">
        <w:rPr>
          <w:rFonts w:ascii="Times New Roman" w:eastAsia="Times New Roman" w:hAnsi="Times New Roman" w:cs="Times New Roman"/>
          <w:color w:val="000000"/>
          <w:sz w:val="24"/>
          <w:szCs w:val="24"/>
        </w:rPr>
        <w:t>49. Schroeder JO, Euler HH. Treatment combining plasmapheresis and pulse cyclophosphamide in severe systemic lupus erythematosus. </w:t>
      </w:r>
      <w:r w:rsidRPr="00155B11">
        <w:rPr>
          <w:rFonts w:ascii="Times New Roman" w:eastAsia="Times New Roman" w:hAnsi="Times New Roman" w:cs="Times New Roman"/>
          <w:i/>
          <w:iCs/>
          <w:color w:val="000000"/>
          <w:sz w:val="24"/>
          <w:szCs w:val="24"/>
        </w:rPr>
        <w:t>Adv Exp Med Biol. </w:t>
      </w:r>
      <w:r w:rsidRPr="00155B11">
        <w:rPr>
          <w:rFonts w:ascii="Times New Roman" w:eastAsia="Times New Roman" w:hAnsi="Times New Roman" w:cs="Times New Roman"/>
          <w:color w:val="000000"/>
          <w:sz w:val="24"/>
          <w:szCs w:val="24"/>
        </w:rPr>
        <w:t>1989;260:203–213. [</w:t>
      </w:r>
      <w:hyperlink r:id="rId212" w:history="1">
        <w:r w:rsidRPr="00155B11">
          <w:rPr>
            <w:rFonts w:ascii="Times New Roman" w:eastAsia="Times New Roman" w:hAnsi="Times New Roman" w:cs="Times New Roman"/>
            <w:color w:val="2F4A8B"/>
            <w:sz w:val="24"/>
            <w:szCs w:val="24"/>
            <w:u w:val="single"/>
          </w:rPr>
          <w:t>PubMed</w:t>
        </w:r>
      </w:hyperlink>
      <w:r w:rsidRPr="00155B11">
        <w:rPr>
          <w:rFonts w:ascii="Times New Roman" w:eastAsia="Times New Roman" w:hAnsi="Times New Roman" w:cs="Times New Roman"/>
          <w:color w:val="000000"/>
          <w:sz w:val="24"/>
          <w:szCs w:val="24"/>
        </w:rPr>
        <w:t>] [</w:t>
      </w:r>
      <w:hyperlink r:id="rId213" w:tgtFrame="_blank" w:history="1">
        <w:r w:rsidRPr="00155B11">
          <w:rPr>
            <w:rFonts w:ascii="Times New Roman" w:eastAsia="Times New Roman" w:hAnsi="Times New Roman" w:cs="Times New Roman"/>
            <w:color w:val="2F4A8B"/>
            <w:sz w:val="24"/>
            <w:szCs w:val="24"/>
            <w:u w:val="single"/>
          </w:rPr>
          <w:t>Google Scholar</w:t>
        </w:r>
      </w:hyperlink>
      <w:r w:rsidRPr="00155B11">
        <w:rPr>
          <w:rFonts w:ascii="Times New Roman" w:eastAsia="Times New Roman" w:hAnsi="Times New Roman" w:cs="Times New Roman"/>
          <w:color w:val="000000"/>
          <w:sz w:val="24"/>
          <w:szCs w:val="24"/>
        </w:rPr>
        <w:t>]</w:t>
      </w:r>
    </w:p>
    <w:p w:rsidR="00155B11" w:rsidRPr="00155B11" w:rsidRDefault="00155B11" w:rsidP="00155B11">
      <w:pPr>
        <w:shd w:val="clear" w:color="auto" w:fill="FFFFFF"/>
        <w:spacing w:line="240" w:lineRule="auto"/>
        <w:rPr>
          <w:rFonts w:ascii="Times New Roman" w:eastAsia="Times New Roman" w:hAnsi="Times New Roman" w:cs="Times New Roman"/>
          <w:color w:val="000000"/>
          <w:sz w:val="24"/>
          <w:szCs w:val="24"/>
        </w:rPr>
      </w:pPr>
      <w:r w:rsidRPr="00155B11">
        <w:rPr>
          <w:rFonts w:ascii="Times New Roman" w:eastAsia="Times New Roman" w:hAnsi="Times New Roman" w:cs="Times New Roman"/>
          <w:color w:val="000000"/>
          <w:sz w:val="24"/>
          <w:szCs w:val="24"/>
        </w:rPr>
        <w:t>50. Canas C, Tobon GJ, Granados M, Fernandez L. Diffuse alveolar hemorrhage in Colombian patients with systemic lupus erythematosus. </w:t>
      </w:r>
      <w:r w:rsidRPr="00155B11">
        <w:rPr>
          <w:rFonts w:ascii="Times New Roman" w:eastAsia="Times New Roman" w:hAnsi="Times New Roman" w:cs="Times New Roman"/>
          <w:i/>
          <w:iCs/>
          <w:color w:val="000000"/>
          <w:sz w:val="24"/>
          <w:szCs w:val="24"/>
        </w:rPr>
        <w:t>Clin Rheumatol. </w:t>
      </w:r>
      <w:r w:rsidRPr="00155B11">
        <w:rPr>
          <w:rFonts w:ascii="Times New Roman" w:eastAsia="Times New Roman" w:hAnsi="Times New Roman" w:cs="Times New Roman"/>
          <w:color w:val="000000"/>
          <w:sz w:val="24"/>
          <w:szCs w:val="24"/>
        </w:rPr>
        <w:t>2007;26(11):1947–1949. [</w:t>
      </w:r>
      <w:hyperlink r:id="rId214" w:history="1">
        <w:r w:rsidRPr="00155B11">
          <w:rPr>
            <w:rFonts w:ascii="Times New Roman" w:eastAsia="Times New Roman" w:hAnsi="Times New Roman" w:cs="Times New Roman"/>
            <w:color w:val="2F4A8B"/>
            <w:sz w:val="24"/>
            <w:szCs w:val="24"/>
            <w:u w:val="single"/>
          </w:rPr>
          <w:t>PubMed</w:t>
        </w:r>
      </w:hyperlink>
      <w:r w:rsidRPr="00155B11">
        <w:rPr>
          <w:rFonts w:ascii="Times New Roman" w:eastAsia="Times New Roman" w:hAnsi="Times New Roman" w:cs="Times New Roman"/>
          <w:color w:val="000000"/>
          <w:sz w:val="24"/>
          <w:szCs w:val="24"/>
        </w:rPr>
        <w:t>] [</w:t>
      </w:r>
      <w:hyperlink r:id="rId215" w:tgtFrame="_blank" w:history="1">
        <w:r w:rsidRPr="00155B11">
          <w:rPr>
            <w:rFonts w:ascii="Times New Roman" w:eastAsia="Times New Roman" w:hAnsi="Times New Roman" w:cs="Times New Roman"/>
            <w:color w:val="2F4A8B"/>
            <w:sz w:val="24"/>
            <w:szCs w:val="24"/>
            <w:u w:val="single"/>
          </w:rPr>
          <w:t>Google Scholar</w:t>
        </w:r>
      </w:hyperlink>
      <w:r w:rsidRPr="00155B11">
        <w:rPr>
          <w:rFonts w:ascii="Times New Roman" w:eastAsia="Times New Roman" w:hAnsi="Times New Roman" w:cs="Times New Roman"/>
          <w:color w:val="000000"/>
          <w:sz w:val="24"/>
          <w:szCs w:val="24"/>
        </w:rPr>
        <w:t>]</w:t>
      </w:r>
    </w:p>
    <w:p w:rsidR="00155B11" w:rsidRPr="00155B11" w:rsidRDefault="00155B11" w:rsidP="00155B11">
      <w:pPr>
        <w:shd w:val="clear" w:color="auto" w:fill="FFFFFF"/>
        <w:spacing w:line="240" w:lineRule="auto"/>
        <w:rPr>
          <w:rFonts w:ascii="Times New Roman" w:eastAsia="Times New Roman" w:hAnsi="Times New Roman" w:cs="Times New Roman"/>
          <w:color w:val="000000"/>
          <w:sz w:val="24"/>
          <w:szCs w:val="24"/>
        </w:rPr>
      </w:pPr>
      <w:r w:rsidRPr="00155B11">
        <w:rPr>
          <w:rFonts w:ascii="Times New Roman" w:eastAsia="Times New Roman" w:hAnsi="Times New Roman" w:cs="Times New Roman"/>
          <w:color w:val="000000"/>
          <w:sz w:val="24"/>
          <w:szCs w:val="24"/>
        </w:rPr>
        <w:t>51. Wei N, Klippel JH, Huston DP, et al. Randomised trial of plasma exchange in mild systemic lupus erythematosus. </w:t>
      </w:r>
      <w:r w:rsidRPr="00155B11">
        <w:rPr>
          <w:rFonts w:ascii="Times New Roman" w:eastAsia="Times New Roman" w:hAnsi="Times New Roman" w:cs="Times New Roman"/>
          <w:i/>
          <w:iCs/>
          <w:color w:val="000000"/>
          <w:sz w:val="24"/>
          <w:szCs w:val="24"/>
        </w:rPr>
        <w:t>Lancet. </w:t>
      </w:r>
      <w:r w:rsidRPr="00155B11">
        <w:rPr>
          <w:rFonts w:ascii="Times New Roman" w:eastAsia="Times New Roman" w:hAnsi="Times New Roman" w:cs="Times New Roman"/>
          <w:color w:val="000000"/>
          <w:sz w:val="24"/>
          <w:szCs w:val="24"/>
        </w:rPr>
        <w:t>1983;1(8314–5):17–22. [</w:t>
      </w:r>
      <w:hyperlink r:id="rId216" w:history="1">
        <w:r w:rsidRPr="00155B11">
          <w:rPr>
            <w:rFonts w:ascii="Times New Roman" w:eastAsia="Times New Roman" w:hAnsi="Times New Roman" w:cs="Times New Roman"/>
            <w:color w:val="2F4A8B"/>
            <w:sz w:val="24"/>
            <w:szCs w:val="24"/>
            <w:u w:val="single"/>
          </w:rPr>
          <w:t>PubMed</w:t>
        </w:r>
      </w:hyperlink>
      <w:r w:rsidRPr="00155B11">
        <w:rPr>
          <w:rFonts w:ascii="Times New Roman" w:eastAsia="Times New Roman" w:hAnsi="Times New Roman" w:cs="Times New Roman"/>
          <w:color w:val="000000"/>
          <w:sz w:val="24"/>
          <w:szCs w:val="24"/>
        </w:rPr>
        <w:t>] [</w:t>
      </w:r>
      <w:hyperlink r:id="rId217" w:tgtFrame="_blank" w:history="1">
        <w:r w:rsidRPr="00155B11">
          <w:rPr>
            <w:rFonts w:ascii="Times New Roman" w:eastAsia="Times New Roman" w:hAnsi="Times New Roman" w:cs="Times New Roman"/>
            <w:color w:val="2F4A8B"/>
            <w:sz w:val="24"/>
            <w:szCs w:val="24"/>
            <w:u w:val="single"/>
          </w:rPr>
          <w:t>Google Scholar</w:t>
        </w:r>
      </w:hyperlink>
      <w:r w:rsidRPr="00155B11">
        <w:rPr>
          <w:rFonts w:ascii="Times New Roman" w:eastAsia="Times New Roman" w:hAnsi="Times New Roman" w:cs="Times New Roman"/>
          <w:color w:val="000000"/>
          <w:sz w:val="24"/>
          <w:szCs w:val="24"/>
        </w:rPr>
        <w:t>]</w:t>
      </w:r>
    </w:p>
    <w:p w:rsidR="00155B11" w:rsidRPr="00155B11" w:rsidRDefault="00155B11" w:rsidP="00155B11">
      <w:pPr>
        <w:shd w:val="clear" w:color="auto" w:fill="FFFFFF"/>
        <w:spacing w:line="240" w:lineRule="auto"/>
        <w:rPr>
          <w:rFonts w:ascii="Times New Roman" w:eastAsia="Times New Roman" w:hAnsi="Times New Roman" w:cs="Times New Roman"/>
          <w:color w:val="000000"/>
          <w:sz w:val="24"/>
          <w:szCs w:val="24"/>
        </w:rPr>
      </w:pPr>
      <w:r w:rsidRPr="00155B11">
        <w:rPr>
          <w:rFonts w:ascii="Times New Roman" w:eastAsia="Times New Roman" w:hAnsi="Times New Roman" w:cs="Times New Roman"/>
          <w:color w:val="000000"/>
          <w:sz w:val="24"/>
          <w:szCs w:val="24"/>
        </w:rPr>
        <w:t>52. Hanly JG, Hong C, Zayed E, Jones JV, Jones E. Immunomodulating effects of synchronised plasmapheresis and intravenous bolus cyclophosphamide in systemic lupus erythematosus. </w:t>
      </w:r>
      <w:r w:rsidRPr="00155B11">
        <w:rPr>
          <w:rFonts w:ascii="Times New Roman" w:eastAsia="Times New Roman" w:hAnsi="Times New Roman" w:cs="Times New Roman"/>
          <w:i/>
          <w:iCs/>
          <w:color w:val="000000"/>
          <w:sz w:val="24"/>
          <w:szCs w:val="24"/>
        </w:rPr>
        <w:t>Lupus. </w:t>
      </w:r>
      <w:r w:rsidRPr="00155B11">
        <w:rPr>
          <w:rFonts w:ascii="Times New Roman" w:eastAsia="Times New Roman" w:hAnsi="Times New Roman" w:cs="Times New Roman"/>
          <w:color w:val="000000"/>
          <w:sz w:val="24"/>
          <w:szCs w:val="24"/>
        </w:rPr>
        <w:t>1995;4(6):457–463. [</w:t>
      </w:r>
      <w:hyperlink r:id="rId218" w:history="1">
        <w:r w:rsidRPr="00155B11">
          <w:rPr>
            <w:rFonts w:ascii="Times New Roman" w:eastAsia="Times New Roman" w:hAnsi="Times New Roman" w:cs="Times New Roman"/>
            <w:color w:val="2F4A8B"/>
            <w:sz w:val="24"/>
            <w:szCs w:val="24"/>
            <w:u w:val="single"/>
          </w:rPr>
          <w:t>PubMed</w:t>
        </w:r>
      </w:hyperlink>
      <w:r w:rsidRPr="00155B11">
        <w:rPr>
          <w:rFonts w:ascii="Times New Roman" w:eastAsia="Times New Roman" w:hAnsi="Times New Roman" w:cs="Times New Roman"/>
          <w:color w:val="000000"/>
          <w:sz w:val="24"/>
          <w:szCs w:val="24"/>
        </w:rPr>
        <w:t>] [</w:t>
      </w:r>
      <w:hyperlink r:id="rId219" w:tgtFrame="_blank" w:history="1">
        <w:r w:rsidRPr="00155B11">
          <w:rPr>
            <w:rFonts w:ascii="Times New Roman" w:eastAsia="Times New Roman" w:hAnsi="Times New Roman" w:cs="Times New Roman"/>
            <w:color w:val="2F4A8B"/>
            <w:sz w:val="24"/>
            <w:szCs w:val="24"/>
            <w:u w:val="single"/>
          </w:rPr>
          <w:t>Google Scholar</w:t>
        </w:r>
      </w:hyperlink>
      <w:r w:rsidRPr="00155B11">
        <w:rPr>
          <w:rFonts w:ascii="Times New Roman" w:eastAsia="Times New Roman" w:hAnsi="Times New Roman" w:cs="Times New Roman"/>
          <w:color w:val="000000"/>
          <w:sz w:val="24"/>
          <w:szCs w:val="24"/>
        </w:rPr>
        <w:t>]</w:t>
      </w:r>
    </w:p>
    <w:p w:rsidR="00155B11" w:rsidRPr="00155B11" w:rsidRDefault="00155B11" w:rsidP="00155B11">
      <w:pPr>
        <w:shd w:val="clear" w:color="auto" w:fill="FFFFFF"/>
        <w:spacing w:line="240" w:lineRule="auto"/>
        <w:rPr>
          <w:rFonts w:ascii="Times New Roman" w:eastAsia="Times New Roman" w:hAnsi="Times New Roman" w:cs="Times New Roman"/>
          <w:color w:val="000000"/>
          <w:sz w:val="24"/>
          <w:szCs w:val="24"/>
        </w:rPr>
      </w:pPr>
      <w:r w:rsidRPr="00155B11">
        <w:rPr>
          <w:rFonts w:ascii="Times New Roman" w:eastAsia="Times New Roman" w:hAnsi="Times New Roman" w:cs="Times New Roman"/>
          <w:color w:val="000000"/>
          <w:sz w:val="24"/>
          <w:szCs w:val="24"/>
        </w:rPr>
        <w:t>53. Ferenci P. Pathophysiology and clinical features of Wilson disease. </w:t>
      </w:r>
      <w:r w:rsidRPr="00155B11">
        <w:rPr>
          <w:rFonts w:ascii="Times New Roman" w:eastAsia="Times New Roman" w:hAnsi="Times New Roman" w:cs="Times New Roman"/>
          <w:i/>
          <w:iCs/>
          <w:color w:val="000000"/>
          <w:sz w:val="24"/>
          <w:szCs w:val="24"/>
        </w:rPr>
        <w:t>Metab Brain Dis. </w:t>
      </w:r>
      <w:r w:rsidRPr="00155B11">
        <w:rPr>
          <w:rFonts w:ascii="Times New Roman" w:eastAsia="Times New Roman" w:hAnsi="Times New Roman" w:cs="Times New Roman"/>
          <w:color w:val="000000"/>
          <w:sz w:val="24"/>
          <w:szCs w:val="24"/>
        </w:rPr>
        <w:t>2004;19(3–4):229–239. [</w:t>
      </w:r>
      <w:hyperlink r:id="rId220" w:history="1">
        <w:r w:rsidRPr="00155B11">
          <w:rPr>
            <w:rFonts w:ascii="Times New Roman" w:eastAsia="Times New Roman" w:hAnsi="Times New Roman" w:cs="Times New Roman"/>
            <w:color w:val="2F4A8B"/>
            <w:sz w:val="24"/>
            <w:szCs w:val="24"/>
            <w:u w:val="single"/>
          </w:rPr>
          <w:t>PubMed</w:t>
        </w:r>
      </w:hyperlink>
      <w:r w:rsidRPr="00155B11">
        <w:rPr>
          <w:rFonts w:ascii="Times New Roman" w:eastAsia="Times New Roman" w:hAnsi="Times New Roman" w:cs="Times New Roman"/>
          <w:color w:val="000000"/>
          <w:sz w:val="24"/>
          <w:szCs w:val="24"/>
        </w:rPr>
        <w:t>] [</w:t>
      </w:r>
      <w:hyperlink r:id="rId221" w:tgtFrame="_blank" w:history="1">
        <w:r w:rsidRPr="00155B11">
          <w:rPr>
            <w:rFonts w:ascii="Times New Roman" w:eastAsia="Times New Roman" w:hAnsi="Times New Roman" w:cs="Times New Roman"/>
            <w:color w:val="2F4A8B"/>
            <w:sz w:val="24"/>
            <w:szCs w:val="24"/>
            <w:u w:val="single"/>
          </w:rPr>
          <w:t>Google Scholar</w:t>
        </w:r>
      </w:hyperlink>
      <w:r w:rsidRPr="00155B11">
        <w:rPr>
          <w:rFonts w:ascii="Times New Roman" w:eastAsia="Times New Roman" w:hAnsi="Times New Roman" w:cs="Times New Roman"/>
          <w:color w:val="000000"/>
          <w:sz w:val="24"/>
          <w:szCs w:val="24"/>
        </w:rPr>
        <w:t>]</w:t>
      </w:r>
    </w:p>
    <w:p w:rsidR="00155B11" w:rsidRPr="00155B11" w:rsidRDefault="00155B11" w:rsidP="00155B11">
      <w:pPr>
        <w:shd w:val="clear" w:color="auto" w:fill="FFFFFF"/>
        <w:spacing w:line="240" w:lineRule="auto"/>
        <w:rPr>
          <w:rFonts w:ascii="Times New Roman" w:eastAsia="Times New Roman" w:hAnsi="Times New Roman" w:cs="Times New Roman"/>
          <w:color w:val="000000"/>
          <w:sz w:val="24"/>
          <w:szCs w:val="24"/>
        </w:rPr>
      </w:pPr>
      <w:r w:rsidRPr="00155B11">
        <w:rPr>
          <w:rFonts w:ascii="Times New Roman" w:eastAsia="Times New Roman" w:hAnsi="Times New Roman" w:cs="Times New Roman"/>
          <w:color w:val="000000"/>
          <w:sz w:val="24"/>
          <w:szCs w:val="24"/>
        </w:rPr>
        <w:lastRenderedPageBreak/>
        <w:t>54. Asfaha S, Almansori M, Qarni U, Gutfreund KS. Plasmapheresis for hemolytic crisis and impending acute liver failure in Wilson disease. </w:t>
      </w:r>
      <w:r w:rsidRPr="00155B11">
        <w:rPr>
          <w:rFonts w:ascii="Times New Roman" w:eastAsia="Times New Roman" w:hAnsi="Times New Roman" w:cs="Times New Roman"/>
          <w:i/>
          <w:iCs/>
          <w:color w:val="000000"/>
          <w:sz w:val="24"/>
          <w:szCs w:val="24"/>
        </w:rPr>
        <w:t>J Clin Apher. </w:t>
      </w:r>
      <w:r w:rsidRPr="00155B11">
        <w:rPr>
          <w:rFonts w:ascii="Times New Roman" w:eastAsia="Times New Roman" w:hAnsi="Times New Roman" w:cs="Times New Roman"/>
          <w:color w:val="000000"/>
          <w:sz w:val="24"/>
          <w:szCs w:val="24"/>
        </w:rPr>
        <w:t>2007;22(5):295–298. [</w:t>
      </w:r>
      <w:hyperlink r:id="rId222" w:history="1">
        <w:r w:rsidRPr="00155B11">
          <w:rPr>
            <w:rFonts w:ascii="Times New Roman" w:eastAsia="Times New Roman" w:hAnsi="Times New Roman" w:cs="Times New Roman"/>
            <w:color w:val="2F4A8B"/>
            <w:sz w:val="24"/>
            <w:szCs w:val="24"/>
            <w:u w:val="single"/>
          </w:rPr>
          <w:t>PubMed</w:t>
        </w:r>
      </w:hyperlink>
      <w:r w:rsidRPr="00155B11">
        <w:rPr>
          <w:rFonts w:ascii="Times New Roman" w:eastAsia="Times New Roman" w:hAnsi="Times New Roman" w:cs="Times New Roman"/>
          <w:color w:val="000000"/>
          <w:sz w:val="24"/>
          <w:szCs w:val="24"/>
        </w:rPr>
        <w:t>] [</w:t>
      </w:r>
      <w:hyperlink r:id="rId223" w:tgtFrame="_blank" w:history="1">
        <w:r w:rsidRPr="00155B11">
          <w:rPr>
            <w:rFonts w:ascii="Times New Roman" w:eastAsia="Times New Roman" w:hAnsi="Times New Roman" w:cs="Times New Roman"/>
            <w:color w:val="2F4A8B"/>
            <w:sz w:val="24"/>
            <w:szCs w:val="24"/>
            <w:u w:val="single"/>
          </w:rPr>
          <w:t>Google Scholar</w:t>
        </w:r>
      </w:hyperlink>
      <w:r w:rsidRPr="00155B11">
        <w:rPr>
          <w:rFonts w:ascii="Times New Roman" w:eastAsia="Times New Roman" w:hAnsi="Times New Roman" w:cs="Times New Roman"/>
          <w:color w:val="000000"/>
          <w:sz w:val="24"/>
          <w:szCs w:val="24"/>
        </w:rPr>
        <w:t>]</w:t>
      </w:r>
    </w:p>
    <w:p w:rsidR="00155B11" w:rsidRPr="00155B11" w:rsidRDefault="00155B11" w:rsidP="00155B11">
      <w:pPr>
        <w:shd w:val="clear" w:color="auto" w:fill="FFFFFF"/>
        <w:spacing w:line="240" w:lineRule="auto"/>
        <w:rPr>
          <w:rFonts w:ascii="Times New Roman" w:eastAsia="Times New Roman" w:hAnsi="Times New Roman" w:cs="Times New Roman"/>
          <w:color w:val="000000"/>
          <w:sz w:val="24"/>
          <w:szCs w:val="24"/>
        </w:rPr>
      </w:pPr>
      <w:r w:rsidRPr="00155B11">
        <w:rPr>
          <w:rFonts w:ascii="Times New Roman" w:eastAsia="Times New Roman" w:hAnsi="Times New Roman" w:cs="Times New Roman"/>
          <w:color w:val="000000"/>
          <w:sz w:val="24"/>
          <w:szCs w:val="24"/>
        </w:rPr>
        <w:t>55. Hursitoglu M, Kara O, Cikrikcioglu MA, Celepkulu T, Aydin S, Tukek T. Clinical improvement of a patient with severe Wilson's disease after a single session of therapeutic plasma exchange. </w:t>
      </w:r>
      <w:r w:rsidRPr="00155B11">
        <w:rPr>
          <w:rFonts w:ascii="Times New Roman" w:eastAsia="Times New Roman" w:hAnsi="Times New Roman" w:cs="Times New Roman"/>
          <w:i/>
          <w:iCs/>
          <w:color w:val="000000"/>
          <w:sz w:val="24"/>
          <w:szCs w:val="24"/>
        </w:rPr>
        <w:t>J Clin Apher. </w:t>
      </w:r>
      <w:r w:rsidRPr="00155B11">
        <w:rPr>
          <w:rFonts w:ascii="Times New Roman" w:eastAsia="Times New Roman" w:hAnsi="Times New Roman" w:cs="Times New Roman"/>
          <w:color w:val="000000"/>
          <w:sz w:val="24"/>
          <w:szCs w:val="24"/>
        </w:rPr>
        <w:t>2009;24(1):25–27. [</w:t>
      </w:r>
      <w:hyperlink r:id="rId224" w:history="1">
        <w:r w:rsidRPr="00155B11">
          <w:rPr>
            <w:rFonts w:ascii="Times New Roman" w:eastAsia="Times New Roman" w:hAnsi="Times New Roman" w:cs="Times New Roman"/>
            <w:color w:val="2F4A8B"/>
            <w:sz w:val="24"/>
            <w:szCs w:val="24"/>
            <w:u w:val="single"/>
          </w:rPr>
          <w:t>PubMed</w:t>
        </w:r>
      </w:hyperlink>
      <w:r w:rsidRPr="00155B11">
        <w:rPr>
          <w:rFonts w:ascii="Times New Roman" w:eastAsia="Times New Roman" w:hAnsi="Times New Roman" w:cs="Times New Roman"/>
          <w:color w:val="000000"/>
          <w:sz w:val="24"/>
          <w:szCs w:val="24"/>
        </w:rPr>
        <w:t>] [</w:t>
      </w:r>
      <w:hyperlink r:id="rId225" w:tgtFrame="_blank" w:history="1">
        <w:r w:rsidRPr="00155B11">
          <w:rPr>
            <w:rFonts w:ascii="Times New Roman" w:eastAsia="Times New Roman" w:hAnsi="Times New Roman" w:cs="Times New Roman"/>
            <w:color w:val="2F4A8B"/>
            <w:sz w:val="24"/>
            <w:szCs w:val="24"/>
            <w:u w:val="single"/>
          </w:rPr>
          <w:t>Google Scholar</w:t>
        </w:r>
      </w:hyperlink>
      <w:r w:rsidRPr="00155B11">
        <w:rPr>
          <w:rFonts w:ascii="Times New Roman" w:eastAsia="Times New Roman" w:hAnsi="Times New Roman" w:cs="Times New Roman"/>
          <w:color w:val="000000"/>
          <w:sz w:val="24"/>
          <w:szCs w:val="24"/>
        </w:rPr>
        <w:t>]</w:t>
      </w:r>
    </w:p>
    <w:p w:rsidR="00155B11" w:rsidRPr="00155B11" w:rsidRDefault="00155B11" w:rsidP="00155B11">
      <w:pPr>
        <w:shd w:val="clear" w:color="auto" w:fill="FFFFFF"/>
        <w:spacing w:line="240" w:lineRule="auto"/>
        <w:rPr>
          <w:rFonts w:ascii="Times New Roman" w:eastAsia="Times New Roman" w:hAnsi="Times New Roman" w:cs="Times New Roman"/>
          <w:color w:val="000000"/>
          <w:sz w:val="24"/>
          <w:szCs w:val="24"/>
        </w:rPr>
      </w:pPr>
      <w:r w:rsidRPr="00155B11">
        <w:rPr>
          <w:rFonts w:ascii="Times New Roman" w:eastAsia="Times New Roman" w:hAnsi="Times New Roman" w:cs="Times New Roman"/>
          <w:color w:val="000000"/>
          <w:sz w:val="24"/>
          <w:szCs w:val="24"/>
        </w:rPr>
        <w:t>56. Jhang JS, Schilsky ML, Lefkowitch JH, Schwartz J. Therapeutic plasmapheresis as a bridge to liver transplantation in fulminant Wilson disease. </w:t>
      </w:r>
      <w:r w:rsidRPr="00155B11">
        <w:rPr>
          <w:rFonts w:ascii="Times New Roman" w:eastAsia="Times New Roman" w:hAnsi="Times New Roman" w:cs="Times New Roman"/>
          <w:i/>
          <w:iCs/>
          <w:color w:val="000000"/>
          <w:sz w:val="24"/>
          <w:szCs w:val="24"/>
        </w:rPr>
        <w:t>J Clin Apher. </w:t>
      </w:r>
      <w:r w:rsidRPr="00155B11">
        <w:rPr>
          <w:rFonts w:ascii="Times New Roman" w:eastAsia="Times New Roman" w:hAnsi="Times New Roman" w:cs="Times New Roman"/>
          <w:color w:val="000000"/>
          <w:sz w:val="24"/>
          <w:szCs w:val="24"/>
        </w:rPr>
        <w:t>2007;22(1):10–14. [</w:t>
      </w:r>
      <w:hyperlink r:id="rId226" w:history="1">
        <w:r w:rsidRPr="00155B11">
          <w:rPr>
            <w:rFonts w:ascii="Times New Roman" w:eastAsia="Times New Roman" w:hAnsi="Times New Roman" w:cs="Times New Roman"/>
            <w:color w:val="2F4A8B"/>
            <w:sz w:val="24"/>
            <w:szCs w:val="24"/>
            <w:u w:val="single"/>
          </w:rPr>
          <w:t>PubMed</w:t>
        </w:r>
      </w:hyperlink>
      <w:r w:rsidRPr="00155B11">
        <w:rPr>
          <w:rFonts w:ascii="Times New Roman" w:eastAsia="Times New Roman" w:hAnsi="Times New Roman" w:cs="Times New Roman"/>
          <w:color w:val="000000"/>
          <w:sz w:val="24"/>
          <w:szCs w:val="24"/>
        </w:rPr>
        <w:t>] [</w:t>
      </w:r>
      <w:hyperlink r:id="rId227" w:tgtFrame="_blank" w:history="1">
        <w:r w:rsidRPr="00155B11">
          <w:rPr>
            <w:rFonts w:ascii="Times New Roman" w:eastAsia="Times New Roman" w:hAnsi="Times New Roman" w:cs="Times New Roman"/>
            <w:color w:val="2F4A8B"/>
            <w:sz w:val="24"/>
            <w:szCs w:val="24"/>
            <w:u w:val="single"/>
          </w:rPr>
          <w:t>Google Scholar</w:t>
        </w:r>
      </w:hyperlink>
      <w:r w:rsidRPr="00155B11">
        <w:rPr>
          <w:rFonts w:ascii="Times New Roman" w:eastAsia="Times New Roman" w:hAnsi="Times New Roman" w:cs="Times New Roman"/>
          <w:color w:val="000000"/>
          <w:sz w:val="24"/>
          <w:szCs w:val="24"/>
        </w:rPr>
        <w:t>]</w:t>
      </w:r>
    </w:p>
    <w:p w:rsidR="00155B11" w:rsidRPr="00155B11" w:rsidRDefault="00155B11" w:rsidP="00155B11">
      <w:pPr>
        <w:shd w:val="clear" w:color="auto" w:fill="FFFFFF"/>
        <w:spacing w:line="240" w:lineRule="auto"/>
        <w:rPr>
          <w:rFonts w:ascii="Times New Roman" w:eastAsia="Times New Roman" w:hAnsi="Times New Roman" w:cs="Times New Roman"/>
          <w:color w:val="000000"/>
          <w:sz w:val="24"/>
          <w:szCs w:val="24"/>
        </w:rPr>
      </w:pPr>
      <w:r w:rsidRPr="00155B11">
        <w:rPr>
          <w:rFonts w:ascii="Times New Roman" w:eastAsia="Times New Roman" w:hAnsi="Times New Roman" w:cs="Times New Roman"/>
          <w:color w:val="000000"/>
          <w:sz w:val="24"/>
          <w:szCs w:val="24"/>
        </w:rPr>
        <w:t>57. Kiss JE, Berman D, Van Thiel D. Effective removal of copper by plasma exchange in fulminant Wilson's disease. </w:t>
      </w:r>
      <w:r w:rsidRPr="00155B11">
        <w:rPr>
          <w:rFonts w:ascii="Times New Roman" w:eastAsia="Times New Roman" w:hAnsi="Times New Roman" w:cs="Times New Roman"/>
          <w:i/>
          <w:iCs/>
          <w:color w:val="000000"/>
          <w:sz w:val="24"/>
          <w:szCs w:val="24"/>
        </w:rPr>
        <w:t>Transfusion. </w:t>
      </w:r>
      <w:r w:rsidRPr="00155B11">
        <w:rPr>
          <w:rFonts w:ascii="Times New Roman" w:eastAsia="Times New Roman" w:hAnsi="Times New Roman" w:cs="Times New Roman"/>
          <w:color w:val="000000"/>
          <w:sz w:val="24"/>
          <w:szCs w:val="24"/>
        </w:rPr>
        <w:t>1998;38(4):327–331. [</w:t>
      </w:r>
      <w:hyperlink r:id="rId228" w:history="1">
        <w:r w:rsidRPr="00155B11">
          <w:rPr>
            <w:rFonts w:ascii="Times New Roman" w:eastAsia="Times New Roman" w:hAnsi="Times New Roman" w:cs="Times New Roman"/>
            <w:color w:val="2F4A8B"/>
            <w:sz w:val="24"/>
            <w:szCs w:val="24"/>
            <w:u w:val="single"/>
          </w:rPr>
          <w:t>PubMed</w:t>
        </w:r>
      </w:hyperlink>
      <w:r w:rsidRPr="00155B11">
        <w:rPr>
          <w:rFonts w:ascii="Times New Roman" w:eastAsia="Times New Roman" w:hAnsi="Times New Roman" w:cs="Times New Roman"/>
          <w:color w:val="000000"/>
          <w:sz w:val="24"/>
          <w:szCs w:val="24"/>
        </w:rPr>
        <w:t>] [</w:t>
      </w:r>
      <w:hyperlink r:id="rId229" w:tgtFrame="_blank" w:history="1">
        <w:r w:rsidRPr="00155B11">
          <w:rPr>
            <w:rFonts w:ascii="Times New Roman" w:eastAsia="Times New Roman" w:hAnsi="Times New Roman" w:cs="Times New Roman"/>
            <w:color w:val="2F4A8B"/>
            <w:sz w:val="24"/>
            <w:szCs w:val="24"/>
            <w:u w:val="single"/>
          </w:rPr>
          <w:t>Google Scholar</w:t>
        </w:r>
      </w:hyperlink>
      <w:r w:rsidRPr="00155B11">
        <w:rPr>
          <w:rFonts w:ascii="Times New Roman" w:eastAsia="Times New Roman" w:hAnsi="Times New Roman" w:cs="Times New Roman"/>
          <w:color w:val="000000"/>
          <w:sz w:val="24"/>
          <w:szCs w:val="24"/>
        </w:rPr>
        <w:t>]</w:t>
      </w:r>
    </w:p>
    <w:p w:rsidR="00155B11" w:rsidRPr="00155B11" w:rsidRDefault="00155B11" w:rsidP="00155B11">
      <w:pPr>
        <w:shd w:val="clear" w:color="auto" w:fill="FFFFFF"/>
        <w:spacing w:line="240" w:lineRule="auto"/>
        <w:rPr>
          <w:rFonts w:ascii="Times New Roman" w:eastAsia="Times New Roman" w:hAnsi="Times New Roman" w:cs="Times New Roman"/>
          <w:color w:val="000000"/>
          <w:sz w:val="24"/>
          <w:szCs w:val="24"/>
        </w:rPr>
      </w:pPr>
      <w:r w:rsidRPr="00155B11">
        <w:rPr>
          <w:rFonts w:ascii="Times New Roman" w:eastAsia="Times New Roman" w:hAnsi="Times New Roman" w:cs="Times New Roman"/>
          <w:color w:val="000000"/>
          <w:sz w:val="24"/>
          <w:szCs w:val="24"/>
        </w:rPr>
        <w:t>58. Nagata Y, Uto H, Hasuike S, et al. Bridging use of plasma exchange and continuous hemodiafiltration before living donor liver transplantation in fulminant Wilson's disease. </w:t>
      </w:r>
      <w:r w:rsidRPr="00155B11">
        <w:rPr>
          <w:rFonts w:ascii="Times New Roman" w:eastAsia="Times New Roman" w:hAnsi="Times New Roman" w:cs="Times New Roman"/>
          <w:i/>
          <w:iCs/>
          <w:color w:val="000000"/>
          <w:sz w:val="24"/>
          <w:szCs w:val="24"/>
        </w:rPr>
        <w:t>Intern Med. </w:t>
      </w:r>
      <w:r w:rsidRPr="00155B11">
        <w:rPr>
          <w:rFonts w:ascii="Times New Roman" w:eastAsia="Times New Roman" w:hAnsi="Times New Roman" w:cs="Times New Roman"/>
          <w:color w:val="000000"/>
          <w:sz w:val="24"/>
          <w:szCs w:val="24"/>
        </w:rPr>
        <w:t>2003;42(10):967–970. [</w:t>
      </w:r>
      <w:hyperlink r:id="rId230" w:history="1">
        <w:r w:rsidRPr="00155B11">
          <w:rPr>
            <w:rFonts w:ascii="Times New Roman" w:eastAsia="Times New Roman" w:hAnsi="Times New Roman" w:cs="Times New Roman"/>
            <w:color w:val="2F4A8B"/>
            <w:sz w:val="24"/>
            <w:szCs w:val="24"/>
            <w:u w:val="single"/>
          </w:rPr>
          <w:t>PubMed</w:t>
        </w:r>
      </w:hyperlink>
      <w:r w:rsidRPr="00155B11">
        <w:rPr>
          <w:rFonts w:ascii="Times New Roman" w:eastAsia="Times New Roman" w:hAnsi="Times New Roman" w:cs="Times New Roman"/>
          <w:color w:val="000000"/>
          <w:sz w:val="24"/>
          <w:szCs w:val="24"/>
        </w:rPr>
        <w:t>] [</w:t>
      </w:r>
      <w:hyperlink r:id="rId231" w:tgtFrame="_blank" w:history="1">
        <w:r w:rsidRPr="00155B11">
          <w:rPr>
            <w:rFonts w:ascii="Times New Roman" w:eastAsia="Times New Roman" w:hAnsi="Times New Roman" w:cs="Times New Roman"/>
            <w:color w:val="2F4A8B"/>
            <w:sz w:val="24"/>
            <w:szCs w:val="24"/>
            <w:u w:val="single"/>
          </w:rPr>
          <w:t>Google Scholar</w:t>
        </w:r>
      </w:hyperlink>
      <w:r w:rsidRPr="00155B11">
        <w:rPr>
          <w:rFonts w:ascii="Times New Roman" w:eastAsia="Times New Roman" w:hAnsi="Times New Roman" w:cs="Times New Roman"/>
          <w:color w:val="000000"/>
          <w:sz w:val="24"/>
          <w:szCs w:val="24"/>
        </w:rPr>
        <w:t>]</w:t>
      </w:r>
    </w:p>
    <w:p w:rsidR="00155B11" w:rsidRPr="00155B11" w:rsidRDefault="00155B11" w:rsidP="00155B11">
      <w:pPr>
        <w:shd w:val="clear" w:color="auto" w:fill="FFFFFF"/>
        <w:spacing w:line="240" w:lineRule="auto"/>
        <w:rPr>
          <w:rFonts w:ascii="Times New Roman" w:eastAsia="Times New Roman" w:hAnsi="Times New Roman" w:cs="Times New Roman"/>
          <w:color w:val="000000"/>
          <w:sz w:val="24"/>
          <w:szCs w:val="24"/>
        </w:rPr>
      </w:pPr>
      <w:r w:rsidRPr="00155B11">
        <w:rPr>
          <w:rFonts w:ascii="Times New Roman" w:eastAsia="Times New Roman" w:hAnsi="Times New Roman" w:cs="Times New Roman"/>
          <w:color w:val="000000"/>
          <w:sz w:val="24"/>
          <w:szCs w:val="24"/>
        </w:rPr>
        <w:t>59. Lee WM. Acute liver failure. </w:t>
      </w:r>
      <w:r w:rsidRPr="00155B11">
        <w:rPr>
          <w:rFonts w:ascii="Times New Roman" w:eastAsia="Times New Roman" w:hAnsi="Times New Roman" w:cs="Times New Roman"/>
          <w:i/>
          <w:iCs/>
          <w:color w:val="000000"/>
          <w:sz w:val="24"/>
          <w:szCs w:val="24"/>
        </w:rPr>
        <w:t>Semin Respir Crit Care Med. </w:t>
      </w:r>
      <w:r w:rsidRPr="00155B11">
        <w:rPr>
          <w:rFonts w:ascii="Times New Roman" w:eastAsia="Times New Roman" w:hAnsi="Times New Roman" w:cs="Times New Roman"/>
          <w:color w:val="000000"/>
          <w:sz w:val="24"/>
          <w:szCs w:val="24"/>
        </w:rPr>
        <w:t>2012;33(1):36–45. [</w:t>
      </w:r>
      <w:hyperlink r:id="rId232" w:history="1">
        <w:r w:rsidRPr="00155B11">
          <w:rPr>
            <w:rFonts w:ascii="Times New Roman" w:eastAsia="Times New Roman" w:hAnsi="Times New Roman" w:cs="Times New Roman"/>
            <w:color w:val="2F4A8B"/>
            <w:sz w:val="24"/>
            <w:szCs w:val="24"/>
            <w:u w:val="single"/>
          </w:rPr>
          <w:t>PubMed</w:t>
        </w:r>
      </w:hyperlink>
      <w:r w:rsidRPr="00155B11">
        <w:rPr>
          <w:rFonts w:ascii="Times New Roman" w:eastAsia="Times New Roman" w:hAnsi="Times New Roman" w:cs="Times New Roman"/>
          <w:color w:val="000000"/>
          <w:sz w:val="24"/>
          <w:szCs w:val="24"/>
        </w:rPr>
        <w:t>] [</w:t>
      </w:r>
      <w:hyperlink r:id="rId233" w:tgtFrame="_blank" w:history="1">
        <w:r w:rsidRPr="00155B11">
          <w:rPr>
            <w:rFonts w:ascii="Times New Roman" w:eastAsia="Times New Roman" w:hAnsi="Times New Roman" w:cs="Times New Roman"/>
            <w:color w:val="2F4A8B"/>
            <w:sz w:val="24"/>
            <w:szCs w:val="24"/>
            <w:u w:val="single"/>
          </w:rPr>
          <w:t>Google Scholar</w:t>
        </w:r>
      </w:hyperlink>
      <w:r w:rsidRPr="00155B11">
        <w:rPr>
          <w:rFonts w:ascii="Times New Roman" w:eastAsia="Times New Roman" w:hAnsi="Times New Roman" w:cs="Times New Roman"/>
          <w:color w:val="000000"/>
          <w:sz w:val="24"/>
          <w:szCs w:val="24"/>
        </w:rPr>
        <w:t>]</w:t>
      </w:r>
    </w:p>
    <w:p w:rsidR="00155B11" w:rsidRPr="00155B11" w:rsidRDefault="00155B11" w:rsidP="00155B11">
      <w:pPr>
        <w:shd w:val="clear" w:color="auto" w:fill="FFFFFF"/>
        <w:spacing w:line="240" w:lineRule="auto"/>
        <w:rPr>
          <w:rFonts w:ascii="Times New Roman" w:eastAsia="Times New Roman" w:hAnsi="Times New Roman" w:cs="Times New Roman"/>
          <w:color w:val="000000"/>
          <w:sz w:val="24"/>
          <w:szCs w:val="24"/>
        </w:rPr>
      </w:pPr>
      <w:r w:rsidRPr="00155B11">
        <w:rPr>
          <w:rFonts w:ascii="Times New Roman" w:eastAsia="Times New Roman" w:hAnsi="Times New Roman" w:cs="Times New Roman"/>
          <w:color w:val="000000"/>
          <w:sz w:val="24"/>
          <w:szCs w:val="24"/>
        </w:rPr>
        <w:t>60. Clemmesen JO, Kondrup J, Nielsen LB, Larsen FS, Ott P. Effects of high-volume plasmapheresis on ammonia, urea, and amino acids in patients with acute liver failure. </w:t>
      </w:r>
      <w:r w:rsidRPr="00155B11">
        <w:rPr>
          <w:rFonts w:ascii="Times New Roman" w:eastAsia="Times New Roman" w:hAnsi="Times New Roman" w:cs="Times New Roman"/>
          <w:i/>
          <w:iCs/>
          <w:color w:val="000000"/>
          <w:sz w:val="24"/>
          <w:szCs w:val="24"/>
        </w:rPr>
        <w:t>Am J Gastroenterol. </w:t>
      </w:r>
      <w:r w:rsidRPr="00155B11">
        <w:rPr>
          <w:rFonts w:ascii="Times New Roman" w:eastAsia="Times New Roman" w:hAnsi="Times New Roman" w:cs="Times New Roman"/>
          <w:color w:val="000000"/>
          <w:sz w:val="24"/>
          <w:szCs w:val="24"/>
        </w:rPr>
        <w:t>2001;96(4):1217–1223. [</w:t>
      </w:r>
      <w:hyperlink r:id="rId234" w:history="1">
        <w:r w:rsidRPr="00155B11">
          <w:rPr>
            <w:rFonts w:ascii="Times New Roman" w:eastAsia="Times New Roman" w:hAnsi="Times New Roman" w:cs="Times New Roman"/>
            <w:color w:val="2F4A8B"/>
            <w:sz w:val="24"/>
            <w:szCs w:val="24"/>
            <w:u w:val="single"/>
          </w:rPr>
          <w:t>PubMed</w:t>
        </w:r>
      </w:hyperlink>
      <w:r w:rsidRPr="00155B11">
        <w:rPr>
          <w:rFonts w:ascii="Times New Roman" w:eastAsia="Times New Roman" w:hAnsi="Times New Roman" w:cs="Times New Roman"/>
          <w:color w:val="000000"/>
          <w:sz w:val="24"/>
          <w:szCs w:val="24"/>
        </w:rPr>
        <w:t>] [</w:t>
      </w:r>
      <w:hyperlink r:id="rId235" w:tgtFrame="_blank" w:history="1">
        <w:r w:rsidRPr="00155B11">
          <w:rPr>
            <w:rFonts w:ascii="Times New Roman" w:eastAsia="Times New Roman" w:hAnsi="Times New Roman" w:cs="Times New Roman"/>
            <w:color w:val="2F4A8B"/>
            <w:sz w:val="24"/>
            <w:szCs w:val="24"/>
            <w:u w:val="single"/>
          </w:rPr>
          <w:t>Google Scholar</w:t>
        </w:r>
      </w:hyperlink>
      <w:r w:rsidRPr="00155B11">
        <w:rPr>
          <w:rFonts w:ascii="Times New Roman" w:eastAsia="Times New Roman" w:hAnsi="Times New Roman" w:cs="Times New Roman"/>
          <w:color w:val="000000"/>
          <w:sz w:val="24"/>
          <w:szCs w:val="24"/>
        </w:rPr>
        <w:t>]</w:t>
      </w:r>
    </w:p>
    <w:p w:rsidR="00155B11" w:rsidRPr="00155B11" w:rsidRDefault="00155B11" w:rsidP="00155B11">
      <w:pPr>
        <w:shd w:val="clear" w:color="auto" w:fill="FFFFFF"/>
        <w:spacing w:line="240" w:lineRule="auto"/>
        <w:rPr>
          <w:rFonts w:ascii="Times New Roman" w:eastAsia="Times New Roman" w:hAnsi="Times New Roman" w:cs="Times New Roman"/>
          <w:color w:val="000000"/>
          <w:sz w:val="24"/>
          <w:szCs w:val="24"/>
        </w:rPr>
      </w:pPr>
      <w:r w:rsidRPr="00155B11">
        <w:rPr>
          <w:rFonts w:ascii="Times New Roman" w:eastAsia="Times New Roman" w:hAnsi="Times New Roman" w:cs="Times New Roman"/>
          <w:color w:val="000000"/>
          <w:sz w:val="24"/>
          <w:szCs w:val="24"/>
        </w:rPr>
        <w:t>61. Ahboucha S, Gamrani H, Baker G. GABAergic neurosteroids: The "endogenous benzodiazepines" of acute liver failure. </w:t>
      </w:r>
      <w:r w:rsidRPr="00155B11">
        <w:rPr>
          <w:rFonts w:ascii="Times New Roman" w:eastAsia="Times New Roman" w:hAnsi="Times New Roman" w:cs="Times New Roman"/>
          <w:i/>
          <w:iCs/>
          <w:color w:val="000000"/>
          <w:sz w:val="24"/>
          <w:szCs w:val="24"/>
        </w:rPr>
        <w:t>Neurochem Int. </w:t>
      </w:r>
      <w:r w:rsidRPr="00155B11">
        <w:rPr>
          <w:rFonts w:ascii="Times New Roman" w:eastAsia="Times New Roman" w:hAnsi="Times New Roman" w:cs="Times New Roman"/>
          <w:color w:val="000000"/>
          <w:sz w:val="24"/>
          <w:szCs w:val="24"/>
        </w:rPr>
        <w:t>2011 [</w:t>
      </w:r>
      <w:hyperlink r:id="rId236" w:history="1">
        <w:r w:rsidRPr="00155B11">
          <w:rPr>
            <w:rFonts w:ascii="Times New Roman" w:eastAsia="Times New Roman" w:hAnsi="Times New Roman" w:cs="Times New Roman"/>
            <w:color w:val="2F4A8B"/>
            <w:sz w:val="24"/>
            <w:szCs w:val="24"/>
            <w:u w:val="single"/>
          </w:rPr>
          <w:t>PubMed</w:t>
        </w:r>
      </w:hyperlink>
      <w:r w:rsidRPr="00155B11">
        <w:rPr>
          <w:rFonts w:ascii="Times New Roman" w:eastAsia="Times New Roman" w:hAnsi="Times New Roman" w:cs="Times New Roman"/>
          <w:color w:val="000000"/>
          <w:sz w:val="24"/>
          <w:szCs w:val="24"/>
        </w:rPr>
        <w:t>] [</w:t>
      </w:r>
      <w:hyperlink r:id="rId237" w:tgtFrame="_blank" w:history="1">
        <w:r w:rsidRPr="00155B11">
          <w:rPr>
            <w:rFonts w:ascii="Times New Roman" w:eastAsia="Times New Roman" w:hAnsi="Times New Roman" w:cs="Times New Roman"/>
            <w:color w:val="2F4A8B"/>
            <w:sz w:val="24"/>
            <w:szCs w:val="24"/>
            <w:u w:val="single"/>
          </w:rPr>
          <w:t>Google Scholar</w:t>
        </w:r>
      </w:hyperlink>
      <w:r w:rsidRPr="00155B11">
        <w:rPr>
          <w:rFonts w:ascii="Times New Roman" w:eastAsia="Times New Roman" w:hAnsi="Times New Roman" w:cs="Times New Roman"/>
          <w:color w:val="000000"/>
          <w:sz w:val="24"/>
          <w:szCs w:val="24"/>
        </w:rPr>
        <w:t>]</w:t>
      </w:r>
    </w:p>
    <w:p w:rsidR="00155B11" w:rsidRPr="00155B11" w:rsidRDefault="00155B11" w:rsidP="00155B11">
      <w:pPr>
        <w:shd w:val="clear" w:color="auto" w:fill="FFFFFF"/>
        <w:spacing w:line="240" w:lineRule="auto"/>
        <w:rPr>
          <w:rFonts w:ascii="Times New Roman" w:eastAsia="Times New Roman" w:hAnsi="Times New Roman" w:cs="Times New Roman"/>
          <w:color w:val="000000"/>
          <w:sz w:val="24"/>
          <w:szCs w:val="24"/>
        </w:rPr>
      </w:pPr>
      <w:r w:rsidRPr="00155B11">
        <w:rPr>
          <w:rFonts w:ascii="Times New Roman" w:eastAsia="Times New Roman" w:hAnsi="Times New Roman" w:cs="Times New Roman"/>
          <w:color w:val="000000"/>
          <w:sz w:val="24"/>
          <w:szCs w:val="24"/>
        </w:rPr>
        <w:t>62. Akdogan M, Camci C, Gurakar A, et al. The effect of total plasma exchange on fulminant hepatic failure. </w:t>
      </w:r>
      <w:r w:rsidRPr="00155B11">
        <w:rPr>
          <w:rFonts w:ascii="Times New Roman" w:eastAsia="Times New Roman" w:hAnsi="Times New Roman" w:cs="Times New Roman"/>
          <w:i/>
          <w:iCs/>
          <w:color w:val="000000"/>
          <w:sz w:val="24"/>
          <w:szCs w:val="24"/>
        </w:rPr>
        <w:t>J Clin Apher. </w:t>
      </w:r>
      <w:r w:rsidRPr="00155B11">
        <w:rPr>
          <w:rFonts w:ascii="Times New Roman" w:eastAsia="Times New Roman" w:hAnsi="Times New Roman" w:cs="Times New Roman"/>
          <w:color w:val="000000"/>
          <w:sz w:val="24"/>
          <w:szCs w:val="24"/>
        </w:rPr>
        <w:t>2006;21(2):96–99. [</w:t>
      </w:r>
      <w:hyperlink r:id="rId238" w:history="1">
        <w:r w:rsidRPr="00155B11">
          <w:rPr>
            <w:rFonts w:ascii="Times New Roman" w:eastAsia="Times New Roman" w:hAnsi="Times New Roman" w:cs="Times New Roman"/>
            <w:color w:val="2F4A8B"/>
            <w:sz w:val="24"/>
            <w:szCs w:val="24"/>
            <w:u w:val="single"/>
          </w:rPr>
          <w:t>PubMed</w:t>
        </w:r>
      </w:hyperlink>
      <w:r w:rsidRPr="00155B11">
        <w:rPr>
          <w:rFonts w:ascii="Times New Roman" w:eastAsia="Times New Roman" w:hAnsi="Times New Roman" w:cs="Times New Roman"/>
          <w:color w:val="000000"/>
          <w:sz w:val="24"/>
          <w:szCs w:val="24"/>
        </w:rPr>
        <w:t>] [</w:t>
      </w:r>
      <w:hyperlink r:id="rId239" w:tgtFrame="_blank" w:history="1">
        <w:r w:rsidRPr="00155B11">
          <w:rPr>
            <w:rFonts w:ascii="Times New Roman" w:eastAsia="Times New Roman" w:hAnsi="Times New Roman" w:cs="Times New Roman"/>
            <w:color w:val="2F4A8B"/>
            <w:sz w:val="24"/>
            <w:szCs w:val="24"/>
            <w:u w:val="single"/>
          </w:rPr>
          <w:t>Google Scholar</w:t>
        </w:r>
      </w:hyperlink>
      <w:r w:rsidRPr="00155B11">
        <w:rPr>
          <w:rFonts w:ascii="Times New Roman" w:eastAsia="Times New Roman" w:hAnsi="Times New Roman" w:cs="Times New Roman"/>
          <w:color w:val="000000"/>
          <w:sz w:val="24"/>
          <w:szCs w:val="24"/>
        </w:rPr>
        <w:t>]</w:t>
      </w:r>
    </w:p>
    <w:p w:rsidR="00155B11" w:rsidRPr="00155B11" w:rsidRDefault="00155B11" w:rsidP="00155B11">
      <w:pPr>
        <w:shd w:val="clear" w:color="auto" w:fill="FFFFFF"/>
        <w:spacing w:line="240" w:lineRule="auto"/>
        <w:rPr>
          <w:rFonts w:ascii="Times New Roman" w:eastAsia="Times New Roman" w:hAnsi="Times New Roman" w:cs="Times New Roman"/>
          <w:color w:val="000000"/>
          <w:sz w:val="24"/>
          <w:szCs w:val="24"/>
        </w:rPr>
      </w:pPr>
      <w:r w:rsidRPr="00155B11">
        <w:rPr>
          <w:rFonts w:ascii="Times New Roman" w:eastAsia="Times New Roman" w:hAnsi="Times New Roman" w:cs="Times New Roman"/>
          <w:color w:val="000000"/>
          <w:sz w:val="24"/>
          <w:szCs w:val="24"/>
        </w:rPr>
        <w:t>63. De Silvestro G, Marson P, Brandolese R, Pittoni G, Ongaro G. A single institution's experience (1982–1999) with plasma-exchange therapy in patients with fulminant hepatic failure. </w:t>
      </w:r>
      <w:r w:rsidRPr="00155B11">
        <w:rPr>
          <w:rFonts w:ascii="Times New Roman" w:eastAsia="Times New Roman" w:hAnsi="Times New Roman" w:cs="Times New Roman"/>
          <w:i/>
          <w:iCs/>
          <w:color w:val="000000"/>
          <w:sz w:val="24"/>
          <w:szCs w:val="24"/>
        </w:rPr>
        <w:t>Int J Artif Organs. </w:t>
      </w:r>
      <w:r w:rsidRPr="00155B11">
        <w:rPr>
          <w:rFonts w:ascii="Times New Roman" w:eastAsia="Times New Roman" w:hAnsi="Times New Roman" w:cs="Times New Roman"/>
          <w:color w:val="000000"/>
          <w:sz w:val="24"/>
          <w:szCs w:val="24"/>
        </w:rPr>
        <w:t>2000;23(7):454–461. [</w:t>
      </w:r>
      <w:hyperlink r:id="rId240" w:history="1">
        <w:r w:rsidRPr="00155B11">
          <w:rPr>
            <w:rFonts w:ascii="Times New Roman" w:eastAsia="Times New Roman" w:hAnsi="Times New Roman" w:cs="Times New Roman"/>
            <w:color w:val="2F4A8B"/>
            <w:sz w:val="24"/>
            <w:szCs w:val="24"/>
            <w:u w:val="single"/>
          </w:rPr>
          <w:t>PubMed</w:t>
        </w:r>
      </w:hyperlink>
      <w:r w:rsidRPr="00155B11">
        <w:rPr>
          <w:rFonts w:ascii="Times New Roman" w:eastAsia="Times New Roman" w:hAnsi="Times New Roman" w:cs="Times New Roman"/>
          <w:color w:val="000000"/>
          <w:sz w:val="24"/>
          <w:szCs w:val="24"/>
        </w:rPr>
        <w:t>] [</w:t>
      </w:r>
      <w:hyperlink r:id="rId241" w:tgtFrame="_blank" w:history="1">
        <w:r w:rsidRPr="00155B11">
          <w:rPr>
            <w:rFonts w:ascii="Times New Roman" w:eastAsia="Times New Roman" w:hAnsi="Times New Roman" w:cs="Times New Roman"/>
            <w:color w:val="2F4A8B"/>
            <w:sz w:val="24"/>
            <w:szCs w:val="24"/>
            <w:u w:val="single"/>
          </w:rPr>
          <w:t>Google Scholar</w:t>
        </w:r>
      </w:hyperlink>
      <w:r w:rsidRPr="00155B11">
        <w:rPr>
          <w:rFonts w:ascii="Times New Roman" w:eastAsia="Times New Roman" w:hAnsi="Times New Roman" w:cs="Times New Roman"/>
          <w:color w:val="000000"/>
          <w:sz w:val="24"/>
          <w:szCs w:val="24"/>
        </w:rPr>
        <w:t>]</w:t>
      </w:r>
    </w:p>
    <w:p w:rsidR="00155B11" w:rsidRPr="00155B11" w:rsidRDefault="00155B11" w:rsidP="00155B11">
      <w:pPr>
        <w:shd w:val="clear" w:color="auto" w:fill="FFFFFF"/>
        <w:spacing w:line="240" w:lineRule="auto"/>
        <w:rPr>
          <w:rFonts w:ascii="Times New Roman" w:eastAsia="Times New Roman" w:hAnsi="Times New Roman" w:cs="Times New Roman"/>
          <w:color w:val="000000"/>
          <w:sz w:val="24"/>
          <w:szCs w:val="24"/>
        </w:rPr>
      </w:pPr>
      <w:r w:rsidRPr="00155B11">
        <w:rPr>
          <w:rFonts w:ascii="Times New Roman" w:eastAsia="Times New Roman" w:hAnsi="Times New Roman" w:cs="Times New Roman"/>
          <w:color w:val="000000"/>
          <w:sz w:val="24"/>
          <w:szCs w:val="24"/>
        </w:rPr>
        <w:t>64. Singer AL, Olthoff KM, Kim H, Rand E, Zamir G, Shaked A. Role of plasmapheresis in the management of acute hepatic failure in children. </w:t>
      </w:r>
      <w:r w:rsidRPr="00155B11">
        <w:rPr>
          <w:rFonts w:ascii="Times New Roman" w:eastAsia="Times New Roman" w:hAnsi="Times New Roman" w:cs="Times New Roman"/>
          <w:i/>
          <w:iCs/>
          <w:color w:val="000000"/>
          <w:sz w:val="24"/>
          <w:szCs w:val="24"/>
        </w:rPr>
        <w:t>Ann Surg. </w:t>
      </w:r>
      <w:r w:rsidRPr="00155B11">
        <w:rPr>
          <w:rFonts w:ascii="Times New Roman" w:eastAsia="Times New Roman" w:hAnsi="Times New Roman" w:cs="Times New Roman"/>
          <w:color w:val="000000"/>
          <w:sz w:val="24"/>
          <w:szCs w:val="24"/>
        </w:rPr>
        <w:t>2001;234(3):418–424. [</w:t>
      </w:r>
      <w:hyperlink r:id="rId242" w:history="1">
        <w:r w:rsidRPr="00155B11">
          <w:rPr>
            <w:rFonts w:ascii="Times New Roman" w:eastAsia="Times New Roman" w:hAnsi="Times New Roman" w:cs="Times New Roman"/>
            <w:color w:val="2F4A8B"/>
            <w:sz w:val="24"/>
            <w:szCs w:val="24"/>
            <w:u w:val="single"/>
          </w:rPr>
          <w:t>PMC free article</w:t>
        </w:r>
      </w:hyperlink>
      <w:r w:rsidRPr="00155B11">
        <w:rPr>
          <w:rFonts w:ascii="Times New Roman" w:eastAsia="Times New Roman" w:hAnsi="Times New Roman" w:cs="Times New Roman"/>
          <w:color w:val="000000"/>
          <w:sz w:val="24"/>
          <w:szCs w:val="24"/>
        </w:rPr>
        <w:t>] [</w:t>
      </w:r>
      <w:hyperlink r:id="rId243" w:history="1">
        <w:r w:rsidRPr="00155B11">
          <w:rPr>
            <w:rFonts w:ascii="Times New Roman" w:eastAsia="Times New Roman" w:hAnsi="Times New Roman" w:cs="Times New Roman"/>
            <w:color w:val="2F4A8B"/>
            <w:sz w:val="24"/>
            <w:szCs w:val="24"/>
            <w:u w:val="single"/>
          </w:rPr>
          <w:t>PubMed</w:t>
        </w:r>
      </w:hyperlink>
      <w:r w:rsidRPr="00155B11">
        <w:rPr>
          <w:rFonts w:ascii="Times New Roman" w:eastAsia="Times New Roman" w:hAnsi="Times New Roman" w:cs="Times New Roman"/>
          <w:color w:val="000000"/>
          <w:sz w:val="24"/>
          <w:szCs w:val="24"/>
        </w:rPr>
        <w:t>] [</w:t>
      </w:r>
      <w:hyperlink r:id="rId244" w:tgtFrame="_blank" w:history="1">
        <w:r w:rsidRPr="00155B11">
          <w:rPr>
            <w:rFonts w:ascii="Times New Roman" w:eastAsia="Times New Roman" w:hAnsi="Times New Roman" w:cs="Times New Roman"/>
            <w:color w:val="2F4A8B"/>
            <w:sz w:val="24"/>
            <w:szCs w:val="24"/>
            <w:u w:val="single"/>
          </w:rPr>
          <w:t>Google Scholar</w:t>
        </w:r>
      </w:hyperlink>
      <w:r w:rsidRPr="00155B11">
        <w:rPr>
          <w:rFonts w:ascii="Times New Roman" w:eastAsia="Times New Roman" w:hAnsi="Times New Roman" w:cs="Times New Roman"/>
          <w:color w:val="000000"/>
          <w:sz w:val="24"/>
          <w:szCs w:val="24"/>
        </w:rPr>
        <w:t>]</w:t>
      </w:r>
    </w:p>
    <w:p w:rsidR="00155B11" w:rsidRPr="00155B11" w:rsidRDefault="00155B11" w:rsidP="00155B11">
      <w:pPr>
        <w:shd w:val="clear" w:color="auto" w:fill="FFFFFF"/>
        <w:spacing w:line="240" w:lineRule="auto"/>
        <w:rPr>
          <w:rFonts w:ascii="Times New Roman" w:eastAsia="Times New Roman" w:hAnsi="Times New Roman" w:cs="Times New Roman"/>
          <w:color w:val="000000"/>
          <w:sz w:val="24"/>
          <w:szCs w:val="24"/>
        </w:rPr>
      </w:pPr>
      <w:r w:rsidRPr="00155B11">
        <w:rPr>
          <w:rFonts w:ascii="Times New Roman" w:eastAsia="Times New Roman" w:hAnsi="Times New Roman" w:cs="Times New Roman"/>
          <w:color w:val="000000"/>
          <w:sz w:val="24"/>
          <w:szCs w:val="24"/>
        </w:rPr>
        <w:t>65. Rydberg L. ABO-incompatibility in solid organ transplantation. </w:t>
      </w:r>
      <w:r w:rsidRPr="00155B11">
        <w:rPr>
          <w:rFonts w:ascii="Times New Roman" w:eastAsia="Times New Roman" w:hAnsi="Times New Roman" w:cs="Times New Roman"/>
          <w:i/>
          <w:iCs/>
          <w:color w:val="000000"/>
          <w:sz w:val="24"/>
          <w:szCs w:val="24"/>
        </w:rPr>
        <w:t>Transfus Med. </w:t>
      </w:r>
      <w:r w:rsidRPr="00155B11">
        <w:rPr>
          <w:rFonts w:ascii="Times New Roman" w:eastAsia="Times New Roman" w:hAnsi="Times New Roman" w:cs="Times New Roman"/>
          <w:color w:val="000000"/>
          <w:sz w:val="24"/>
          <w:szCs w:val="24"/>
        </w:rPr>
        <w:t>2001;11(4):325–342. [</w:t>
      </w:r>
      <w:hyperlink r:id="rId245" w:history="1">
        <w:r w:rsidRPr="00155B11">
          <w:rPr>
            <w:rFonts w:ascii="Times New Roman" w:eastAsia="Times New Roman" w:hAnsi="Times New Roman" w:cs="Times New Roman"/>
            <w:color w:val="2F4A8B"/>
            <w:sz w:val="24"/>
            <w:szCs w:val="24"/>
            <w:u w:val="single"/>
          </w:rPr>
          <w:t>PubMed</w:t>
        </w:r>
      </w:hyperlink>
      <w:r w:rsidRPr="00155B11">
        <w:rPr>
          <w:rFonts w:ascii="Times New Roman" w:eastAsia="Times New Roman" w:hAnsi="Times New Roman" w:cs="Times New Roman"/>
          <w:color w:val="000000"/>
          <w:sz w:val="24"/>
          <w:szCs w:val="24"/>
        </w:rPr>
        <w:t>] [</w:t>
      </w:r>
      <w:hyperlink r:id="rId246" w:tgtFrame="_blank" w:history="1">
        <w:r w:rsidRPr="00155B11">
          <w:rPr>
            <w:rFonts w:ascii="Times New Roman" w:eastAsia="Times New Roman" w:hAnsi="Times New Roman" w:cs="Times New Roman"/>
            <w:color w:val="2F4A8B"/>
            <w:sz w:val="24"/>
            <w:szCs w:val="24"/>
            <w:u w:val="single"/>
          </w:rPr>
          <w:t>Google Scholar</w:t>
        </w:r>
      </w:hyperlink>
      <w:r w:rsidRPr="00155B11">
        <w:rPr>
          <w:rFonts w:ascii="Times New Roman" w:eastAsia="Times New Roman" w:hAnsi="Times New Roman" w:cs="Times New Roman"/>
          <w:color w:val="000000"/>
          <w:sz w:val="24"/>
          <w:szCs w:val="24"/>
        </w:rPr>
        <w:t>]</w:t>
      </w:r>
    </w:p>
    <w:p w:rsidR="00155B11" w:rsidRPr="00155B11" w:rsidRDefault="00155B11" w:rsidP="00155B11">
      <w:pPr>
        <w:shd w:val="clear" w:color="auto" w:fill="FFFFFF"/>
        <w:spacing w:line="240" w:lineRule="auto"/>
        <w:rPr>
          <w:rFonts w:ascii="Times New Roman" w:eastAsia="Times New Roman" w:hAnsi="Times New Roman" w:cs="Times New Roman"/>
          <w:color w:val="000000"/>
          <w:sz w:val="24"/>
          <w:szCs w:val="24"/>
        </w:rPr>
      </w:pPr>
      <w:r w:rsidRPr="00155B11">
        <w:rPr>
          <w:rFonts w:ascii="Times New Roman" w:eastAsia="Times New Roman" w:hAnsi="Times New Roman" w:cs="Times New Roman"/>
          <w:color w:val="000000"/>
          <w:sz w:val="24"/>
          <w:szCs w:val="24"/>
        </w:rPr>
        <w:t>66. Roche SL, Burch M, O'Sullivan J, et al. Multicenter experience of ABO-incompatible pediatric cardiac transplantation. </w:t>
      </w:r>
      <w:r w:rsidRPr="00155B11">
        <w:rPr>
          <w:rFonts w:ascii="Times New Roman" w:eastAsia="Times New Roman" w:hAnsi="Times New Roman" w:cs="Times New Roman"/>
          <w:i/>
          <w:iCs/>
          <w:color w:val="000000"/>
          <w:sz w:val="24"/>
          <w:szCs w:val="24"/>
        </w:rPr>
        <w:t>Am J Transplant. </w:t>
      </w:r>
      <w:r w:rsidRPr="00155B11">
        <w:rPr>
          <w:rFonts w:ascii="Times New Roman" w:eastAsia="Times New Roman" w:hAnsi="Times New Roman" w:cs="Times New Roman"/>
          <w:color w:val="000000"/>
          <w:sz w:val="24"/>
          <w:szCs w:val="24"/>
        </w:rPr>
        <w:t>2008;8(1):208–215. [</w:t>
      </w:r>
      <w:hyperlink r:id="rId247" w:history="1">
        <w:r w:rsidRPr="00155B11">
          <w:rPr>
            <w:rFonts w:ascii="Times New Roman" w:eastAsia="Times New Roman" w:hAnsi="Times New Roman" w:cs="Times New Roman"/>
            <w:color w:val="2F4A8B"/>
            <w:sz w:val="24"/>
            <w:szCs w:val="24"/>
            <w:u w:val="single"/>
          </w:rPr>
          <w:t>PubMed</w:t>
        </w:r>
      </w:hyperlink>
      <w:r w:rsidRPr="00155B11">
        <w:rPr>
          <w:rFonts w:ascii="Times New Roman" w:eastAsia="Times New Roman" w:hAnsi="Times New Roman" w:cs="Times New Roman"/>
          <w:color w:val="000000"/>
          <w:sz w:val="24"/>
          <w:szCs w:val="24"/>
        </w:rPr>
        <w:t>] [</w:t>
      </w:r>
      <w:hyperlink r:id="rId248" w:tgtFrame="_blank" w:history="1">
        <w:r w:rsidRPr="00155B11">
          <w:rPr>
            <w:rFonts w:ascii="Times New Roman" w:eastAsia="Times New Roman" w:hAnsi="Times New Roman" w:cs="Times New Roman"/>
            <w:color w:val="2F4A8B"/>
            <w:sz w:val="24"/>
            <w:szCs w:val="24"/>
            <w:u w:val="single"/>
          </w:rPr>
          <w:t>Google Scholar</w:t>
        </w:r>
      </w:hyperlink>
      <w:r w:rsidRPr="00155B11">
        <w:rPr>
          <w:rFonts w:ascii="Times New Roman" w:eastAsia="Times New Roman" w:hAnsi="Times New Roman" w:cs="Times New Roman"/>
          <w:color w:val="000000"/>
          <w:sz w:val="24"/>
          <w:szCs w:val="24"/>
        </w:rPr>
        <w:t>]</w:t>
      </w:r>
    </w:p>
    <w:p w:rsidR="00155B11" w:rsidRPr="00155B11" w:rsidRDefault="00155B11" w:rsidP="00155B11">
      <w:pPr>
        <w:shd w:val="clear" w:color="auto" w:fill="FFFFFF"/>
        <w:spacing w:line="240" w:lineRule="auto"/>
        <w:rPr>
          <w:rFonts w:ascii="Times New Roman" w:eastAsia="Times New Roman" w:hAnsi="Times New Roman" w:cs="Times New Roman"/>
          <w:color w:val="000000"/>
          <w:sz w:val="24"/>
          <w:szCs w:val="24"/>
        </w:rPr>
      </w:pPr>
      <w:r w:rsidRPr="00155B11">
        <w:rPr>
          <w:rFonts w:ascii="Times New Roman" w:eastAsia="Times New Roman" w:hAnsi="Times New Roman" w:cs="Times New Roman"/>
          <w:color w:val="000000"/>
          <w:sz w:val="24"/>
          <w:szCs w:val="24"/>
        </w:rPr>
        <w:t>67. West LJ, Pollock-Barziv SM, Dipchand AI, et al. ABO-incompatible heart transplantation in infants. </w:t>
      </w:r>
      <w:r w:rsidRPr="00155B11">
        <w:rPr>
          <w:rFonts w:ascii="Times New Roman" w:eastAsia="Times New Roman" w:hAnsi="Times New Roman" w:cs="Times New Roman"/>
          <w:i/>
          <w:iCs/>
          <w:color w:val="000000"/>
          <w:sz w:val="24"/>
          <w:szCs w:val="24"/>
        </w:rPr>
        <w:t>N Engl J Med. </w:t>
      </w:r>
      <w:r w:rsidRPr="00155B11">
        <w:rPr>
          <w:rFonts w:ascii="Times New Roman" w:eastAsia="Times New Roman" w:hAnsi="Times New Roman" w:cs="Times New Roman"/>
          <w:color w:val="000000"/>
          <w:sz w:val="24"/>
          <w:szCs w:val="24"/>
        </w:rPr>
        <w:t>2001;344(11):793–800. [</w:t>
      </w:r>
      <w:hyperlink r:id="rId249" w:history="1">
        <w:r w:rsidRPr="00155B11">
          <w:rPr>
            <w:rFonts w:ascii="Times New Roman" w:eastAsia="Times New Roman" w:hAnsi="Times New Roman" w:cs="Times New Roman"/>
            <w:color w:val="2F4A8B"/>
            <w:sz w:val="24"/>
            <w:szCs w:val="24"/>
            <w:u w:val="single"/>
          </w:rPr>
          <w:t>PubMed</w:t>
        </w:r>
      </w:hyperlink>
      <w:r w:rsidRPr="00155B11">
        <w:rPr>
          <w:rFonts w:ascii="Times New Roman" w:eastAsia="Times New Roman" w:hAnsi="Times New Roman" w:cs="Times New Roman"/>
          <w:color w:val="000000"/>
          <w:sz w:val="24"/>
          <w:szCs w:val="24"/>
        </w:rPr>
        <w:t>] [</w:t>
      </w:r>
      <w:hyperlink r:id="rId250" w:tgtFrame="_blank" w:history="1">
        <w:r w:rsidRPr="00155B11">
          <w:rPr>
            <w:rFonts w:ascii="Times New Roman" w:eastAsia="Times New Roman" w:hAnsi="Times New Roman" w:cs="Times New Roman"/>
            <w:color w:val="2F4A8B"/>
            <w:sz w:val="24"/>
            <w:szCs w:val="24"/>
            <w:u w:val="single"/>
          </w:rPr>
          <w:t>Google Scholar</w:t>
        </w:r>
      </w:hyperlink>
      <w:r w:rsidRPr="00155B11">
        <w:rPr>
          <w:rFonts w:ascii="Times New Roman" w:eastAsia="Times New Roman" w:hAnsi="Times New Roman" w:cs="Times New Roman"/>
          <w:color w:val="000000"/>
          <w:sz w:val="24"/>
          <w:szCs w:val="24"/>
        </w:rPr>
        <w:t>]</w:t>
      </w:r>
    </w:p>
    <w:p w:rsidR="00155B11" w:rsidRPr="00155B11" w:rsidRDefault="00155B11" w:rsidP="00155B11">
      <w:pPr>
        <w:shd w:val="clear" w:color="auto" w:fill="FFFFFF"/>
        <w:spacing w:line="240" w:lineRule="auto"/>
        <w:rPr>
          <w:rFonts w:ascii="Times New Roman" w:eastAsia="Times New Roman" w:hAnsi="Times New Roman" w:cs="Times New Roman"/>
          <w:color w:val="000000"/>
          <w:sz w:val="24"/>
          <w:szCs w:val="24"/>
        </w:rPr>
      </w:pPr>
      <w:r w:rsidRPr="00155B11">
        <w:rPr>
          <w:rFonts w:ascii="Times New Roman" w:eastAsia="Times New Roman" w:hAnsi="Times New Roman" w:cs="Times New Roman"/>
          <w:color w:val="000000"/>
          <w:sz w:val="24"/>
          <w:szCs w:val="24"/>
        </w:rPr>
        <w:t>68. Carithers RL., Jr Liver transplantation. American Association for the Study of Liver Diseases. </w:t>
      </w:r>
      <w:r w:rsidRPr="00155B11">
        <w:rPr>
          <w:rFonts w:ascii="Times New Roman" w:eastAsia="Times New Roman" w:hAnsi="Times New Roman" w:cs="Times New Roman"/>
          <w:i/>
          <w:iCs/>
          <w:color w:val="000000"/>
          <w:sz w:val="24"/>
          <w:szCs w:val="24"/>
        </w:rPr>
        <w:t>Liver Transpl. </w:t>
      </w:r>
      <w:r w:rsidRPr="00155B11">
        <w:rPr>
          <w:rFonts w:ascii="Times New Roman" w:eastAsia="Times New Roman" w:hAnsi="Times New Roman" w:cs="Times New Roman"/>
          <w:color w:val="000000"/>
          <w:sz w:val="24"/>
          <w:szCs w:val="24"/>
        </w:rPr>
        <w:t>2000;6(1):122–135. [</w:t>
      </w:r>
      <w:hyperlink r:id="rId251" w:history="1">
        <w:r w:rsidRPr="00155B11">
          <w:rPr>
            <w:rFonts w:ascii="Times New Roman" w:eastAsia="Times New Roman" w:hAnsi="Times New Roman" w:cs="Times New Roman"/>
            <w:color w:val="2F4A8B"/>
            <w:sz w:val="24"/>
            <w:szCs w:val="24"/>
            <w:u w:val="single"/>
          </w:rPr>
          <w:t>PubMed</w:t>
        </w:r>
      </w:hyperlink>
      <w:r w:rsidRPr="00155B11">
        <w:rPr>
          <w:rFonts w:ascii="Times New Roman" w:eastAsia="Times New Roman" w:hAnsi="Times New Roman" w:cs="Times New Roman"/>
          <w:color w:val="000000"/>
          <w:sz w:val="24"/>
          <w:szCs w:val="24"/>
        </w:rPr>
        <w:t>] [</w:t>
      </w:r>
      <w:hyperlink r:id="rId252" w:tgtFrame="_blank" w:history="1">
        <w:r w:rsidRPr="00155B11">
          <w:rPr>
            <w:rFonts w:ascii="Times New Roman" w:eastAsia="Times New Roman" w:hAnsi="Times New Roman" w:cs="Times New Roman"/>
            <w:color w:val="2F4A8B"/>
            <w:sz w:val="24"/>
            <w:szCs w:val="24"/>
            <w:u w:val="single"/>
          </w:rPr>
          <w:t>Google Scholar</w:t>
        </w:r>
      </w:hyperlink>
      <w:r w:rsidRPr="00155B11">
        <w:rPr>
          <w:rFonts w:ascii="Times New Roman" w:eastAsia="Times New Roman" w:hAnsi="Times New Roman" w:cs="Times New Roman"/>
          <w:color w:val="000000"/>
          <w:sz w:val="24"/>
          <w:szCs w:val="24"/>
        </w:rPr>
        <w:t>]</w:t>
      </w:r>
    </w:p>
    <w:p w:rsidR="00155B11" w:rsidRPr="00155B11" w:rsidRDefault="00155B11" w:rsidP="00155B11">
      <w:pPr>
        <w:shd w:val="clear" w:color="auto" w:fill="FFFFFF"/>
        <w:spacing w:line="240" w:lineRule="auto"/>
        <w:rPr>
          <w:rFonts w:ascii="Times New Roman" w:eastAsia="Times New Roman" w:hAnsi="Times New Roman" w:cs="Times New Roman"/>
          <w:color w:val="000000"/>
          <w:sz w:val="24"/>
          <w:szCs w:val="24"/>
        </w:rPr>
      </w:pPr>
      <w:r w:rsidRPr="00155B11">
        <w:rPr>
          <w:rFonts w:ascii="Times New Roman" w:eastAsia="Times New Roman" w:hAnsi="Times New Roman" w:cs="Times New Roman"/>
          <w:color w:val="000000"/>
          <w:sz w:val="24"/>
          <w:szCs w:val="24"/>
        </w:rPr>
        <w:lastRenderedPageBreak/>
        <w:t>69. Winters JL, Gloor JM, Pineda AA, Stegall MD, Moore SB. Plasma exchange conditioning for ABO-incompatible renal transplantation. </w:t>
      </w:r>
      <w:r w:rsidRPr="00155B11">
        <w:rPr>
          <w:rFonts w:ascii="Times New Roman" w:eastAsia="Times New Roman" w:hAnsi="Times New Roman" w:cs="Times New Roman"/>
          <w:i/>
          <w:iCs/>
          <w:color w:val="000000"/>
          <w:sz w:val="24"/>
          <w:szCs w:val="24"/>
        </w:rPr>
        <w:t>J Clin Apher. </w:t>
      </w:r>
      <w:r w:rsidRPr="00155B11">
        <w:rPr>
          <w:rFonts w:ascii="Times New Roman" w:eastAsia="Times New Roman" w:hAnsi="Times New Roman" w:cs="Times New Roman"/>
          <w:color w:val="000000"/>
          <w:sz w:val="24"/>
          <w:szCs w:val="24"/>
        </w:rPr>
        <w:t>2004;19(2):79–85. [</w:t>
      </w:r>
      <w:hyperlink r:id="rId253" w:history="1">
        <w:r w:rsidRPr="00155B11">
          <w:rPr>
            <w:rFonts w:ascii="Times New Roman" w:eastAsia="Times New Roman" w:hAnsi="Times New Roman" w:cs="Times New Roman"/>
            <w:color w:val="2F4A8B"/>
            <w:sz w:val="24"/>
            <w:szCs w:val="24"/>
            <w:u w:val="single"/>
          </w:rPr>
          <w:t>PubMed</w:t>
        </w:r>
      </w:hyperlink>
      <w:r w:rsidRPr="00155B11">
        <w:rPr>
          <w:rFonts w:ascii="Times New Roman" w:eastAsia="Times New Roman" w:hAnsi="Times New Roman" w:cs="Times New Roman"/>
          <w:color w:val="000000"/>
          <w:sz w:val="24"/>
          <w:szCs w:val="24"/>
        </w:rPr>
        <w:t>] [</w:t>
      </w:r>
      <w:hyperlink r:id="rId254" w:tgtFrame="_blank" w:history="1">
        <w:r w:rsidRPr="00155B11">
          <w:rPr>
            <w:rFonts w:ascii="Times New Roman" w:eastAsia="Times New Roman" w:hAnsi="Times New Roman" w:cs="Times New Roman"/>
            <w:color w:val="2F4A8B"/>
            <w:sz w:val="24"/>
            <w:szCs w:val="24"/>
            <w:u w:val="single"/>
          </w:rPr>
          <w:t>Google Scholar</w:t>
        </w:r>
      </w:hyperlink>
      <w:r w:rsidRPr="00155B11">
        <w:rPr>
          <w:rFonts w:ascii="Times New Roman" w:eastAsia="Times New Roman" w:hAnsi="Times New Roman" w:cs="Times New Roman"/>
          <w:color w:val="000000"/>
          <w:sz w:val="24"/>
          <w:szCs w:val="24"/>
        </w:rPr>
        <w:t>]</w:t>
      </w:r>
    </w:p>
    <w:p w:rsidR="00155B11" w:rsidRPr="00155B11" w:rsidRDefault="00155B11" w:rsidP="00155B11">
      <w:pPr>
        <w:shd w:val="clear" w:color="auto" w:fill="FFFFFF"/>
        <w:spacing w:line="240" w:lineRule="auto"/>
        <w:rPr>
          <w:rFonts w:ascii="Times New Roman" w:eastAsia="Times New Roman" w:hAnsi="Times New Roman" w:cs="Times New Roman"/>
          <w:color w:val="000000"/>
          <w:sz w:val="24"/>
          <w:szCs w:val="24"/>
        </w:rPr>
      </w:pPr>
      <w:r w:rsidRPr="00155B11">
        <w:rPr>
          <w:rFonts w:ascii="Times New Roman" w:eastAsia="Times New Roman" w:hAnsi="Times New Roman" w:cs="Times New Roman"/>
          <w:color w:val="000000"/>
          <w:sz w:val="24"/>
          <w:szCs w:val="24"/>
        </w:rPr>
        <w:t>70. Tobian AA, Shirey RS, Montgomery RA, Tisch DJ, Ness PM, King KE. Therapeutic plasma exchange reduces ABO titers to permit ABO-incompatible renal transplantation. </w:t>
      </w:r>
      <w:r w:rsidRPr="00155B11">
        <w:rPr>
          <w:rFonts w:ascii="Times New Roman" w:eastAsia="Times New Roman" w:hAnsi="Times New Roman" w:cs="Times New Roman"/>
          <w:i/>
          <w:iCs/>
          <w:color w:val="000000"/>
          <w:sz w:val="24"/>
          <w:szCs w:val="24"/>
        </w:rPr>
        <w:t>Transfusion. </w:t>
      </w:r>
      <w:r w:rsidRPr="00155B11">
        <w:rPr>
          <w:rFonts w:ascii="Times New Roman" w:eastAsia="Times New Roman" w:hAnsi="Times New Roman" w:cs="Times New Roman"/>
          <w:color w:val="000000"/>
          <w:sz w:val="24"/>
          <w:szCs w:val="24"/>
        </w:rPr>
        <w:t>2009;49(6):1248–1254. [</w:t>
      </w:r>
      <w:hyperlink r:id="rId255" w:history="1">
        <w:r w:rsidRPr="00155B11">
          <w:rPr>
            <w:rFonts w:ascii="Times New Roman" w:eastAsia="Times New Roman" w:hAnsi="Times New Roman" w:cs="Times New Roman"/>
            <w:color w:val="2F4A8B"/>
            <w:sz w:val="24"/>
            <w:szCs w:val="24"/>
            <w:u w:val="single"/>
          </w:rPr>
          <w:t>PubMed</w:t>
        </w:r>
      </w:hyperlink>
      <w:r w:rsidRPr="00155B11">
        <w:rPr>
          <w:rFonts w:ascii="Times New Roman" w:eastAsia="Times New Roman" w:hAnsi="Times New Roman" w:cs="Times New Roman"/>
          <w:color w:val="000000"/>
          <w:sz w:val="24"/>
          <w:szCs w:val="24"/>
        </w:rPr>
        <w:t>] [</w:t>
      </w:r>
      <w:hyperlink r:id="rId256" w:tgtFrame="_blank" w:history="1">
        <w:r w:rsidRPr="00155B11">
          <w:rPr>
            <w:rFonts w:ascii="Times New Roman" w:eastAsia="Times New Roman" w:hAnsi="Times New Roman" w:cs="Times New Roman"/>
            <w:color w:val="2F4A8B"/>
            <w:sz w:val="24"/>
            <w:szCs w:val="24"/>
            <w:u w:val="single"/>
          </w:rPr>
          <w:t>Google Scholar</w:t>
        </w:r>
      </w:hyperlink>
      <w:r w:rsidRPr="00155B11">
        <w:rPr>
          <w:rFonts w:ascii="Times New Roman" w:eastAsia="Times New Roman" w:hAnsi="Times New Roman" w:cs="Times New Roman"/>
          <w:color w:val="000000"/>
          <w:sz w:val="24"/>
          <w:szCs w:val="24"/>
        </w:rPr>
        <w:t>]</w:t>
      </w:r>
    </w:p>
    <w:p w:rsidR="00155B11" w:rsidRPr="00155B11" w:rsidRDefault="00155B11" w:rsidP="00155B11">
      <w:pPr>
        <w:shd w:val="clear" w:color="auto" w:fill="FFFFFF"/>
        <w:spacing w:line="240" w:lineRule="auto"/>
        <w:rPr>
          <w:rFonts w:ascii="Times New Roman" w:eastAsia="Times New Roman" w:hAnsi="Times New Roman" w:cs="Times New Roman"/>
          <w:color w:val="000000"/>
          <w:sz w:val="24"/>
          <w:szCs w:val="24"/>
        </w:rPr>
      </w:pPr>
      <w:r w:rsidRPr="00155B11">
        <w:rPr>
          <w:rFonts w:ascii="Times New Roman" w:eastAsia="Times New Roman" w:hAnsi="Times New Roman" w:cs="Times New Roman"/>
          <w:color w:val="000000"/>
          <w:sz w:val="24"/>
          <w:szCs w:val="24"/>
        </w:rPr>
        <w:t>71. Khurana DS, Melvin JJ, Kothare SV, et al. Acute disseminated encephalomyelitis in children: discordant neurologic and neuroimaging abnormalities and response to plasmapheresis. </w:t>
      </w:r>
      <w:r w:rsidRPr="00155B11">
        <w:rPr>
          <w:rFonts w:ascii="Times New Roman" w:eastAsia="Times New Roman" w:hAnsi="Times New Roman" w:cs="Times New Roman"/>
          <w:i/>
          <w:iCs/>
          <w:color w:val="000000"/>
          <w:sz w:val="24"/>
          <w:szCs w:val="24"/>
        </w:rPr>
        <w:t>Pediatrics. </w:t>
      </w:r>
      <w:r w:rsidRPr="00155B11">
        <w:rPr>
          <w:rFonts w:ascii="Times New Roman" w:eastAsia="Times New Roman" w:hAnsi="Times New Roman" w:cs="Times New Roman"/>
          <w:color w:val="000000"/>
          <w:sz w:val="24"/>
          <w:szCs w:val="24"/>
        </w:rPr>
        <w:t>2005;116(2):431–436. [</w:t>
      </w:r>
      <w:hyperlink r:id="rId257" w:history="1">
        <w:r w:rsidRPr="00155B11">
          <w:rPr>
            <w:rFonts w:ascii="Times New Roman" w:eastAsia="Times New Roman" w:hAnsi="Times New Roman" w:cs="Times New Roman"/>
            <w:color w:val="2F4A8B"/>
            <w:sz w:val="24"/>
            <w:szCs w:val="24"/>
            <w:u w:val="single"/>
          </w:rPr>
          <w:t>PubMed</w:t>
        </w:r>
      </w:hyperlink>
      <w:r w:rsidRPr="00155B11">
        <w:rPr>
          <w:rFonts w:ascii="Times New Roman" w:eastAsia="Times New Roman" w:hAnsi="Times New Roman" w:cs="Times New Roman"/>
          <w:color w:val="000000"/>
          <w:sz w:val="24"/>
          <w:szCs w:val="24"/>
        </w:rPr>
        <w:t>] [</w:t>
      </w:r>
      <w:hyperlink r:id="rId258" w:tgtFrame="_blank" w:history="1">
        <w:r w:rsidRPr="00155B11">
          <w:rPr>
            <w:rFonts w:ascii="Times New Roman" w:eastAsia="Times New Roman" w:hAnsi="Times New Roman" w:cs="Times New Roman"/>
            <w:color w:val="2F4A8B"/>
            <w:sz w:val="24"/>
            <w:szCs w:val="24"/>
            <w:u w:val="single"/>
          </w:rPr>
          <w:t>Google Scholar</w:t>
        </w:r>
      </w:hyperlink>
      <w:r w:rsidRPr="00155B11">
        <w:rPr>
          <w:rFonts w:ascii="Times New Roman" w:eastAsia="Times New Roman" w:hAnsi="Times New Roman" w:cs="Times New Roman"/>
          <w:color w:val="000000"/>
          <w:sz w:val="24"/>
          <w:szCs w:val="24"/>
        </w:rPr>
        <w:t>]</w:t>
      </w:r>
    </w:p>
    <w:p w:rsidR="00155B11" w:rsidRPr="00155B11" w:rsidRDefault="00155B11" w:rsidP="00155B11">
      <w:pPr>
        <w:shd w:val="clear" w:color="auto" w:fill="FFFFFF"/>
        <w:spacing w:line="240" w:lineRule="auto"/>
        <w:rPr>
          <w:rFonts w:ascii="Times New Roman" w:eastAsia="Times New Roman" w:hAnsi="Times New Roman" w:cs="Times New Roman"/>
          <w:color w:val="000000"/>
          <w:sz w:val="24"/>
          <w:szCs w:val="24"/>
        </w:rPr>
      </w:pPr>
      <w:r w:rsidRPr="00155B11">
        <w:rPr>
          <w:rFonts w:ascii="Times New Roman" w:eastAsia="Times New Roman" w:hAnsi="Times New Roman" w:cs="Times New Roman"/>
          <w:color w:val="000000"/>
          <w:sz w:val="24"/>
          <w:szCs w:val="24"/>
        </w:rPr>
        <w:t>72. Lin CH, Jeng JS, Yip PK. Plasmapheresis in acute disseminated encephalomyelitis. </w:t>
      </w:r>
      <w:r w:rsidRPr="00155B11">
        <w:rPr>
          <w:rFonts w:ascii="Times New Roman" w:eastAsia="Times New Roman" w:hAnsi="Times New Roman" w:cs="Times New Roman"/>
          <w:i/>
          <w:iCs/>
          <w:color w:val="000000"/>
          <w:sz w:val="24"/>
          <w:szCs w:val="24"/>
        </w:rPr>
        <w:t>J Clin Apher. </w:t>
      </w:r>
      <w:r w:rsidRPr="00155B11">
        <w:rPr>
          <w:rFonts w:ascii="Times New Roman" w:eastAsia="Times New Roman" w:hAnsi="Times New Roman" w:cs="Times New Roman"/>
          <w:color w:val="000000"/>
          <w:sz w:val="24"/>
          <w:szCs w:val="24"/>
        </w:rPr>
        <w:t>2004;19(3):154–159. [</w:t>
      </w:r>
      <w:hyperlink r:id="rId259" w:history="1">
        <w:r w:rsidRPr="00155B11">
          <w:rPr>
            <w:rFonts w:ascii="Times New Roman" w:eastAsia="Times New Roman" w:hAnsi="Times New Roman" w:cs="Times New Roman"/>
            <w:color w:val="2F4A8B"/>
            <w:sz w:val="24"/>
            <w:szCs w:val="24"/>
            <w:u w:val="single"/>
          </w:rPr>
          <w:t>PubMed</w:t>
        </w:r>
      </w:hyperlink>
      <w:r w:rsidRPr="00155B11">
        <w:rPr>
          <w:rFonts w:ascii="Times New Roman" w:eastAsia="Times New Roman" w:hAnsi="Times New Roman" w:cs="Times New Roman"/>
          <w:color w:val="000000"/>
          <w:sz w:val="24"/>
          <w:szCs w:val="24"/>
        </w:rPr>
        <w:t>] [</w:t>
      </w:r>
      <w:hyperlink r:id="rId260" w:tgtFrame="_blank" w:history="1">
        <w:r w:rsidRPr="00155B11">
          <w:rPr>
            <w:rFonts w:ascii="Times New Roman" w:eastAsia="Times New Roman" w:hAnsi="Times New Roman" w:cs="Times New Roman"/>
            <w:color w:val="2F4A8B"/>
            <w:sz w:val="24"/>
            <w:szCs w:val="24"/>
            <w:u w:val="single"/>
          </w:rPr>
          <w:t>Google Scholar</w:t>
        </w:r>
      </w:hyperlink>
      <w:r w:rsidRPr="00155B11">
        <w:rPr>
          <w:rFonts w:ascii="Times New Roman" w:eastAsia="Times New Roman" w:hAnsi="Times New Roman" w:cs="Times New Roman"/>
          <w:color w:val="000000"/>
          <w:sz w:val="24"/>
          <w:szCs w:val="24"/>
        </w:rPr>
        <w:t>]</w:t>
      </w:r>
    </w:p>
    <w:p w:rsidR="00155B11" w:rsidRPr="00155B11" w:rsidRDefault="00155B11" w:rsidP="00155B11">
      <w:pPr>
        <w:shd w:val="clear" w:color="auto" w:fill="FFFFFF"/>
        <w:spacing w:line="240" w:lineRule="auto"/>
        <w:rPr>
          <w:rFonts w:ascii="Times New Roman" w:eastAsia="Times New Roman" w:hAnsi="Times New Roman" w:cs="Times New Roman"/>
          <w:color w:val="000000"/>
          <w:sz w:val="24"/>
          <w:szCs w:val="24"/>
        </w:rPr>
      </w:pPr>
      <w:r w:rsidRPr="00155B11">
        <w:rPr>
          <w:rFonts w:ascii="Times New Roman" w:eastAsia="Times New Roman" w:hAnsi="Times New Roman" w:cs="Times New Roman"/>
          <w:color w:val="000000"/>
          <w:sz w:val="24"/>
          <w:szCs w:val="24"/>
        </w:rPr>
        <w:t>73. RamachandranNair R, Rafeequ M, Girija AS. Plasmapheresis in childhood acute disseminated encephalomyelitis. </w:t>
      </w:r>
      <w:r w:rsidRPr="00155B11">
        <w:rPr>
          <w:rFonts w:ascii="Times New Roman" w:eastAsia="Times New Roman" w:hAnsi="Times New Roman" w:cs="Times New Roman"/>
          <w:i/>
          <w:iCs/>
          <w:color w:val="000000"/>
          <w:sz w:val="24"/>
          <w:szCs w:val="24"/>
        </w:rPr>
        <w:t>Indian Pediatr. </w:t>
      </w:r>
      <w:r w:rsidRPr="00155B11">
        <w:rPr>
          <w:rFonts w:ascii="Times New Roman" w:eastAsia="Times New Roman" w:hAnsi="Times New Roman" w:cs="Times New Roman"/>
          <w:color w:val="000000"/>
          <w:sz w:val="24"/>
          <w:szCs w:val="24"/>
        </w:rPr>
        <w:t>2005;42(5):479–482. [</w:t>
      </w:r>
      <w:hyperlink r:id="rId261" w:history="1">
        <w:r w:rsidRPr="00155B11">
          <w:rPr>
            <w:rFonts w:ascii="Times New Roman" w:eastAsia="Times New Roman" w:hAnsi="Times New Roman" w:cs="Times New Roman"/>
            <w:color w:val="2F4A8B"/>
            <w:sz w:val="24"/>
            <w:szCs w:val="24"/>
            <w:u w:val="single"/>
          </w:rPr>
          <w:t>PubMed</w:t>
        </w:r>
      </w:hyperlink>
      <w:r w:rsidRPr="00155B11">
        <w:rPr>
          <w:rFonts w:ascii="Times New Roman" w:eastAsia="Times New Roman" w:hAnsi="Times New Roman" w:cs="Times New Roman"/>
          <w:color w:val="000000"/>
          <w:sz w:val="24"/>
          <w:szCs w:val="24"/>
        </w:rPr>
        <w:t>] [</w:t>
      </w:r>
      <w:hyperlink r:id="rId262" w:tgtFrame="_blank" w:history="1">
        <w:r w:rsidRPr="00155B11">
          <w:rPr>
            <w:rFonts w:ascii="Times New Roman" w:eastAsia="Times New Roman" w:hAnsi="Times New Roman" w:cs="Times New Roman"/>
            <w:color w:val="2F4A8B"/>
            <w:sz w:val="24"/>
            <w:szCs w:val="24"/>
            <w:u w:val="single"/>
          </w:rPr>
          <w:t>Google Scholar</w:t>
        </w:r>
      </w:hyperlink>
      <w:r w:rsidRPr="00155B11">
        <w:rPr>
          <w:rFonts w:ascii="Times New Roman" w:eastAsia="Times New Roman" w:hAnsi="Times New Roman" w:cs="Times New Roman"/>
          <w:color w:val="000000"/>
          <w:sz w:val="24"/>
          <w:szCs w:val="24"/>
        </w:rPr>
        <w:t>]</w:t>
      </w:r>
    </w:p>
    <w:p w:rsidR="00155B11" w:rsidRPr="00155B11" w:rsidRDefault="00155B11" w:rsidP="00155B11">
      <w:pPr>
        <w:shd w:val="clear" w:color="auto" w:fill="FFFFFF"/>
        <w:spacing w:line="240" w:lineRule="auto"/>
        <w:rPr>
          <w:rFonts w:ascii="Times New Roman" w:eastAsia="Times New Roman" w:hAnsi="Times New Roman" w:cs="Times New Roman"/>
          <w:color w:val="000000"/>
          <w:sz w:val="24"/>
          <w:szCs w:val="24"/>
        </w:rPr>
      </w:pPr>
      <w:r w:rsidRPr="00155B11">
        <w:rPr>
          <w:rFonts w:ascii="Times New Roman" w:eastAsia="Times New Roman" w:hAnsi="Times New Roman" w:cs="Times New Roman"/>
          <w:color w:val="000000"/>
          <w:sz w:val="24"/>
          <w:szCs w:val="24"/>
        </w:rPr>
        <w:t>74. Garg RK. Acute disseminated encephalomyelitis. </w:t>
      </w:r>
      <w:r w:rsidRPr="00155B11">
        <w:rPr>
          <w:rFonts w:ascii="Times New Roman" w:eastAsia="Times New Roman" w:hAnsi="Times New Roman" w:cs="Times New Roman"/>
          <w:i/>
          <w:iCs/>
          <w:color w:val="000000"/>
          <w:sz w:val="24"/>
          <w:szCs w:val="24"/>
        </w:rPr>
        <w:t>Postgrad Med J. </w:t>
      </w:r>
      <w:r w:rsidRPr="00155B11">
        <w:rPr>
          <w:rFonts w:ascii="Times New Roman" w:eastAsia="Times New Roman" w:hAnsi="Times New Roman" w:cs="Times New Roman"/>
          <w:color w:val="000000"/>
          <w:sz w:val="24"/>
          <w:szCs w:val="24"/>
        </w:rPr>
        <w:t>2003;79(927):11–17. [</w:t>
      </w:r>
      <w:hyperlink r:id="rId263" w:history="1">
        <w:r w:rsidRPr="00155B11">
          <w:rPr>
            <w:rFonts w:ascii="Times New Roman" w:eastAsia="Times New Roman" w:hAnsi="Times New Roman" w:cs="Times New Roman"/>
            <w:color w:val="2F4A8B"/>
            <w:sz w:val="24"/>
            <w:szCs w:val="24"/>
            <w:u w:val="single"/>
          </w:rPr>
          <w:t>PMC free article</w:t>
        </w:r>
      </w:hyperlink>
      <w:r w:rsidRPr="00155B11">
        <w:rPr>
          <w:rFonts w:ascii="Times New Roman" w:eastAsia="Times New Roman" w:hAnsi="Times New Roman" w:cs="Times New Roman"/>
          <w:color w:val="000000"/>
          <w:sz w:val="24"/>
          <w:szCs w:val="24"/>
        </w:rPr>
        <w:t>] [</w:t>
      </w:r>
      <w:hyperlink r:id="rId264" w:history="1">
        <w:r w:rsidRPr="00155B11">
          <w:rPr>
            <w:rFonts w:ascii="Times New Roman" w:eastAsia="Times New Roman" w:hAnsi="Times New Roman" w:cs="Times New Roman"/>
            <w:color w:val="2F4A8B"/>
            <w:sz w:val="24"/>
            <w:szCs w:val="24"/>
            <w:u w:val="single"/>
          </w:rPr>
          <w:t>PubMed</w:t>
        </w:r>
      </w:hyperlink>
      <w:r w:rsidRPr="00155B11">
        <w:rPr>
          <w:rFonts w:ascii="Times New Roman" w:eastAsia="Times New Roman" w:hAnsi="Times New Roman" w:cs="Times New Roman"/>
          <w:color w:val="000000"/>
          <w:sz w:val="24"/>
          <w:szCs w:val="24"/>
        </w:rPr>
        <w:t>] [</w:t>
      </w:r>
      <w:hyperlink r:id="rId265" w:tgtFrame="_blank" w:history="1">
        <w:r w:rsidRPr="00155B11">
          <w:rPr>
            <w:rFonts w:ascii="Times New Roman" w:eastAsia="Times New Roman" w:hAnsi="Times New Roman" w:cs="Times New Roman"/>
            <w:color w:val="2F4A8B"/>
            <w:sz w:val="24"/>
            <w:szCs w:val="24"/>
            <w:u w:val="single"/>
          </w:rPr>
          <w:t>Google Scholar</w:t>
        </w:r>
      </w:hyperlink>
      <w:r w:rsidRPr="00155B11">
        <w:rPr>
          <w:rFonts w:ascii="Times New Roman" w:eastAsia="Times New Roman" w:hAnsi="Times New Roman" w:cs="Times New Roman"/>
          <w:color w:val="000000"/>
          <w:sz w:val="24"/>
          <w:szCs w:val="24"/>
        </w:rPr>
        <w:t>]</w:t>
      </w:r>
    </w:p>
    <w:p w:rsidR="00155B11" w:rsidRPr="00155B11" w:rsidRDefault="00155B11" w:rsidP="00155B11">
      <w:pPr>
        <w:shd w:val="clear" w:color="auto" w:fill="FFFFFF"/>
        <w:spacing w:line="240" w:lineRule="auto"/>
        <w:rPr>
          <w:rFonts w:ascii="Times New Roman" w:eastAsia="Times New Roman" w:hAnsi="Times New Roman" w:cs="Times New Roman"/>
          <w:color w:val="000000"/>
          <w:sz w:val="24"/>
          <w:szCs w:val="24"/>
        </w:rPr>
      </w:pPr>
      <w:r w:rsidRPr="00155B11">
        <w:rPr>
          <w:rFonts w:ascii="Times New Roman" w:eastAsia="Times New Roman" w:hAnsi="Times New Roman" w:cs="Times New Roman"/>
          <w:color w:val="000000"/>
          <w:sz w:val="24"/>
          <w:szCs w:val="24"/>
        </w:rPr>
        <w:t>75. Kaynar L, Altuntas F, Aydogdu I, et al. Therapeutic plasma exchange in patients with neurologic diseases: retrospective multicenter study. </w:t>
      </w:r>
      <w:r w:rsidRPr="00155B11">
        <w:rPr>
          <w:rFonts w:ascii="Times New Roman" w:eastAsia="Times New Roman" w:hAnsi="Times New Roman" w:cs="Times New Roman"/>
          <w:i/>
          <w:iCs/>
          <w:color w:val="000000"/>
          <w:sz w:val="24"/>
          <w:szCs w:val="24"/>
        </w:rPr>
        <w:t>Transfus Apher Sci. </w:t>
      </w:r>
      <w:r w:rsidRPr="00155B11">
        <w:rPr>
          <w:rFonts w:ascii="Times New Roman" w:eastAsia="Times New Roman" w:hAnsi="Times New Roman" w:cs="Times New Roman"/>
          <w:color w:val="000000"/>
          <w:sz w:val="24"/>
          <w:szCs w:val="24"/>
        </w:rPr>
        <w:t>2008;38(2):109–115. [</w:t>
      </w:r>
      <w:hyperlink r:id="rId266" w:history="1">
        <w:r w:rsidRPr="00155B11">
          <w:rPr>
            <w:rFonts w:ascii="Times New Roman" w:eastAsia="Times New Roman" w:hAnsi="Times New Roman" w:cs="Times New Roman"/>
            <w:color w:val="2F4A8B"/>
            <w:sz w:val="24"/>
            <w:szCs w:val="24"/>
            <w:u w:val="single"/>
          </w:rPr>
          <w:t>PubMed</w:t>
        </w:r>
      </w:hyperlink>
      <w:r w:rsidRPr="00155B11">
        <w:rPr>
          <w:rFonts w:ascii="Times New Roman" w:eastAsia="Times New Roman" w:hAnsi="Times New Roman" w:cs="Times New Roman"/>
          <w:color w:val="000000"/>
          <w:sz w:val="24"/>
          <w:szCs w:val="24"/>
        </w:rPr>
        <w:t>] [</w:t>
      </w:r>
      <w:hyperlink r:id="rId267" w:tgtFrame="_blank" w:history="1">
        <w:r w:rsidRPr="00155B11">
          <w:rPr>
            <w:rFonts w:ascii="Times New Roman" w:eastAsia="Times New Roman" w:hAnsi="Times New Roman" w:cs="Times New Roman"/>
            <w:color w:val="2F4A8B"/>
            <w:sz w:val="24"/>
            <w:szCs w:val="24"/>
            <w:u w:val="single"/>
          </w:rPr>
          <w:t>Google Scholar</w:t>
        </w:r>
      </w:hyperlink>
      <w:r w:rsidRPr="00155B11">
        <w:rPr>
          <w:rFonts w:ascii="Times New Roman" w:eastAsia="Times New Roman" w:hAnsi="Times New Roman" w:cs="Times New Roman"/>
          <w:color w:val="000000"/>
          <w:sz w:val="24"/>
          <w:szCs w:val="24"/>
        </w:rPr>
        <w:t>]</w:t>
      </w:r>
    </w:p>
    <w:p w:rsidR="00155B11" w:rsidRPr="00155B11" w:rsidRDefault="00155B11" w:rsidP="00155B11">
      <w:pPr>
        <w:shd w:val="clear" w:color="auto" w:fill="FFFFFF"/>
        <w:spacing w:line="240" w:lineRule="auto"/>
        <w:rPr>
          <w:rFonts w:ascii="Times New Roman" w:eastAsia="Times New Roman" w:hAnsi="Times New Roman" w:cs="Times New Roman"/>
          <w:color w:val="000000"/>
          <w:sz w:val="24"/>
          <w:szCs w:val="24"/>
        </w:rPr>
      </w:pPr>
      <w:r w:rsidRPr="00155B11">
        <w:rPr>
          <w:rFonts w:ascii="Times New Roman" w:eastAsia="Times New Roman" w:hAnsi="Times New Roman" w:cs="Times New Roman"/>
          <w:color w:val="000000"/>
          <w:sz w:val="24"/>
          <w:szCs w:val="24"/>
        </w:rPr>
        <w:t>76. Keegan M, Pineda AA, McClelland RL, Darby CH, Rodriguez M, Weinshenker BG. Plasma exchange for severe attacks of CNS demyelination: predictors of response. </w:t>
      </w:r>
      <w:r w:rsidRPr="00155B11">
        <w:rPr>
          <w:rFonts w:ascii="Times New Roman" w:eastAsia="Times New Roman" w:hAnsi="Times New Roman" w:cs="Times New Roman"/>
          <w:i/>
          <w:iCs/>
          <w:color w:val="000000"/>
          <w:sz w:val="24"/>
          <w:szCs w:val="24"/>
        </w:rPr>
        <w:t>Neurology. </w:t>
      </w:r>
      <w:r w:rsidRPr="00155B11">
        <w:rPr>
          <w:rFonts w:ascii="Times New Roman" w:eastAsia="Times New Roman" w:hAnsi="Times New Roman" w:cs="Times New Roman"/>
          <w:color w:val="000000"/>
          <w:sz w:val="24"/>
          <w:szCs w:val="24"/>
        </w:rPr>
        <w:t>2002;58(1):143–146. [</w:t>
      </w:r>
      <w:hyperlink r:id="rId268" w:history="1">
        <w:r w:rsidRPr="00155B11">
          <w:rPr>
            <w:rFonts w:ascii="Times New Roman" w:eastAsia="Times New Roman" w:hAnsi="Times New Roman" w:cs="Times New Roman"/>
            <w:color w:val="2F4A8B"/>
            <w:sz w:val="24"/>
            <w:szCs w:val="24"/>
            <w:u w:val="single"/>
          </w:rPr>
          <w:t>PubMed</w:t>
        </w:r>
      </w:hyperlink>
      <w:r w:rsidRPr="00155B11">
        <w:rPr>
          <w:rFonts w:ascii="Times New Roman" w:eastAsia="Times New Roman" w:hAnsi="Times New Roman" w:cs="Times New Roman"/>
          <w:color w:val="000000"/>
          <w:sz w:val="24"/>
          <w:szCs w:val="24"/>
        </w:rPr>
        <w:t>] [</w:t>
      </w:r>
      <w:hyperlink r:id="rId269" w:tgtFrame="_blank" w:history="1">
        <w:r w:rsidRPr="00155B11">
          <w:rPr>
            <w:rFonts w:ascii="Times New Roman" w:eastAsia="Times New Roman" w:hAnsi="Times New Roman" w:cs="Times New Roman"/>
            <w:color w:val="2F4A8B"/>
            <w:sz w:val="24"/>
            <w:szCs w:val="24"/>
            <w:u w:val="single"/>
          </w:rPr>
          <w:t>Google Scholar</w:t>
        </w:r>
      </w:hyperlink>
      <w:r w:rsidRPr="00155B11">
        <w:rPr>
          <w:rFonts w:ascii="Times New Roman" w:eastAsia="Times New Roman" w:hAnsi="Times New Roman" w:cs="Times New Roman"/>
          <w:color w:val="000000"/>
          <w:sz w:val="24"/>
          <w:szCs w:val="24"/>
        </w:rPr>
        <w:t>]</w:t>
      </w:r>
    </w:p>
    <w:p w:rsidR="00155B11" w:rsidRPr="00155B11" w:rsidRDefault="00155B11" w:rsidP="00155B11">
      <w:pPr>
        <w:shd w:val="clear" w:color="auto" w:fill="FFFFFF"/>
        <w:spacing w:line="240" w:lineRule="auto"/>
        <w:rPr>
          <w:rFonts w:ascii="Times New Roman" w:eastAsia="Times New Roman" w:hAnsi="Times New Roman" w:cs="Times New Roman"/>
          <w:color w:val="000000"/>
          <w:sz w:val="24"/>
          <w:szCs w:val="24"/>
        </w:rPr>
      </w:pPr>
      <w:r w:rsidRPr="00155B11">
        <w:rPr>
          <w:rFonts w:ascii="Times New Roman" w:eastAsia="Times New Roman" w:hAnsi="Times New Roman" w:cs="Times New Roman"/>
          <w:color w:val="000000"/>
          <w:sz w:val="24"/>
          <w:szCs w:val="24"/>
        </w:rPr>
        <w:t>77. Menge T, Hemmer B, Nessler S, et al. Acute disseminated encephalomyelitis: an update. </w:t>
      </w:r>
      <w:r w:rsidRPr="00155B11">
        <w:rPr>
          <w:rFonts w:ascii="Times New Roman" w:eastAsia="Times New Roman" w:hAnsi="Times New Roman" w:cs="Times New Roman"/>
          <w:i/>
          <w:iCs/>
          <w:color w:val="000000"/>
          <w:sz w:val="24"/>
          <w:szCs w:val="24"/>
        </w:rPr>
        <w:t>Arch Neurol. </w:t>
      </w:r>
      <w:r w:rsidRPr="00155B11">
        <w:rPr>
          <w:rFonts w:ascii="Times New Roman" w:eastAsia="Times New Roman" w:hAnsi="Times New Roman" w:cs="Times New Roman"/>
          <w:color w:val="000000"/>
          <w:sz w:val="24"/>
          <w:szCs w:val="24"/>
        </w:rPr>
        <w:t>2005;62(11):1673–1680. [</w:t>
      </w:r>
      <w:hyperlink r:id="rId270" w:history="1">
        <w:r w:rsidRPr="00155B11">
          <w:rPr>
            <w:rFonts w:ascii="Times New Roman" w:eastAsia="Times New Roman" w:hAnsi="Times New Roman" w:cs="Times New Roman"/>
            <w:color w:val="2F4A8B"/>
            <w:sz w:val="24"/>
            <w:szCs w:val="24"/>
            <w:u w:val="single"/>
          </w:rPr>
          <w:t>PubMed</w:t>
        </w:r>
      </w:hyperlink>
      <w:r w:rsidRPr="00155B11">
        <w:rPr>
          <w:rFonts w:ascii="Times New Roman" w:eastAsia="Times New Roman" w:hAnsi="Times New Roman" w:cs="Times New Roman"/>
          <w:color w:val="000000"/>
          <w:sz w:val="24"/>
          <w:szCs w:val="24"/>
        </w:rPr>
        <w:t>] [</w:t>
      </w:r>
      <w:hyperlink r:id="rId271" w:tgtFrame="_blank" w:history="1">
        <w:r w:rsidRPr="00155B11">
          <w:rPr>
            <w:rFonts w:ascii="Times New Roman" w:eastAsia="Times New Roman" w:hAnsi="Times New Roman" w:cs="Times New Roman"/>
            <w:color w:val="2F4A8B"/>
            <w:sz w:val="24"/>
            <w:szCs w:val="24"/>
            <w:u w:val="single"/>
          </w:rPr>
          <w:t>Google Scholar</w:t>
        </w:r>
      </w:hyperlink>
      <w:r w:rsidRPr="00155B11">
        <w:rPr>
          <w:rFonts w:ascii="Times New Roman" w:eastAsia="Times New Roman" w:hAnsi="Times New Roman" w:cs="Times New Roman"/>
          <w:color w:val="000000"/>
          <w:sz w:val="24"/>
          <w:szCs w:val="24"/>
        </w:rPr>
        <w:t>]</w:t>
      </w:r>
    </w:p>
    <w:p w:rsidR="00155B11" w:rsidRPr="00155B11" w:rsidRDefault="00155B11" w:rsidP="00155B11">
      <w:pPr>
        <w:shd w:val="clear" w:color="auto" w:fill="FFFFFF"/>
        <w:spacing w:line="240" w:lineRule="auto"/>
        <w:rPr>
          <w:rFonts w:ascii="Times New Roman" w:eastAsia="Times New Roman" w:hAnsi="Times New Roman" w:cs="Times New Roman"/>
          <w:color w:val="000000"/>
          <w:sz w:val="24"/>
          <w:szCs w:val="24"/>
        </w:rPr>
      </w:pPr>
      <w:r w:rsidRPr="00155B11">
        <w:rPr>
          <w:rFonts w:ascii="Times New Roman" w:eastAsia="Times New Roman" w:hAnsi="Times New Roman" w:cs="Times New Roman"/>
          <w:color w:val="000000"/>
          <w:sz w:val="24"/>
          <w:szCs w:val="24"/>
        </w:rPr>
        <w:t>78. Johnson JP, Moore J, Jr, Austin HA, 3rd, Balow JE, Antonovych TT, Wilson CB. Therapy of anti-glomerular basement membrane antibody disease: analysis of prognostic significance of clinical, pathologic and treatment factors. </w:t>
      </w:r>
      <w:r w:rsidRPr="00155B11">
        <w:rPr>
          <w:rFonts w:ascii="Times New Roman" w:eastAsia="Times New Roman" w:hAnsi="Times New Roman" w:cs="Times New Roman"/>
          <w:i/>
          <w:iCs/>
          <w:color w:val="000000"/>
          <w:sz w:val="24"/>
          <w:szCs w:val="24"/>
        </w:rPr>
        <w:t>Medicine (Baltimore) </w:t>
      </w:r>
      <w:r w:rsidRPr="00155B11">
        <w:rPr>
          <w:rFonts w:ascii="Times New Roman" w:eastAsia="Times New Roman" w:hAnsi="Times New Roman" w:cs="Times New Roman"/>
          <w:color w:val="000000"/>
          <w:sz w:val="24"/>
          <w:szCs w:val="24"/>
        </w:rPr>
        <w:t>1985;64(4):219–227. [</w:t>
      </w:r>
      <w:hyperlink r:id="rId272" w:history="1">
        <w:r w:rsidRPr="00155B11">
          <w:rPr>
            <w:rFonts w:ascii="Times New Roman" w:eastAsia="Times New Roman" w:hAnsi="Times New Roman" w:cs="Times New Roman"/>
            <w:color w:val="2F4A8B"/>
            <w:sz w:val="24"/>
            <w:szCs w:val="24"/>
            <w:u w:val="single"/>
          </w:rPr>
          <w:t>PubMed</w:t>
        </w:r>
      </w:hyperlink>
      <w:r w:rsidRPr="00155B11">
        <w:rPr>
          <w:rFonts w:ascii="Times New Roman" w:eastAsia="Times New Roman" w:hAnsi="Times New Roman" w:cs="Times New Roman"/>
          <w:color w:val="000000"/>
          <w:sz w:val="24"/>
          <w:szCs w:val="24"/>
        </w:rPr>
        <w:t>] [</w:t>
      </w:r>
      <w:hyperlink r:id="rId273" w:tgtFrame="_blank" w:history="1">
        <w:r w:rsidRPr="00155B11">
          <w:rPr>
            <w:rFonts w:ascii="Times New Roman" w:eastAsia="Times New Roman" w:hAnsi="Times New Roman" w:cs="Times New Roman"/>
            <w:color w:val="2F4A8B"/>
            <w:sz w:val="24"/>
            <w:szCs w:val="24"/>
            <w:u w:val="single"/>
          </w:rPr>
          <w:t>Google Scholar</w:t>
        </w:r>
      </w:hyperlink>
      <w:r w:rsidRPr="00155B11">
        <w:rPr>
          <w:rFonts w:ascii="Times New Roman" w:eastAsia="Times New Roman" w:hAnsi="Times New Roman" w:cs="Times New Roman"/>
          <w:color w:val="000000"/>
          <w:sz w:val="24"/>
          <w:szCs w:val="24"/>
        </w:rPr>
        <w:t>]</w:t>
      </w:r>
    </w:p>
    <w:p w:rsidR="00155B11" w:rsidRPr="00155B11" w:rsidRDefault="00155B11" w:rsidP="00155B11">
      <w:pPr>
        <w:shd w:val="clear" w:color="auto" w:fill="FFFFFF"/>
        <w:spacing w:line="240" w:lineRule="auto"/>
        <w:rPr>
          <w:rFonts w:ascii="Times New Roman" w:eastAsia="Times New Roman" w:hAnsi="Times New Roman" w:cs="Times New Roman"/>
          <w:color w:val="000000"/>
          <w:sz w:val="24"/>
          <w:szCs w:val="24"/>
        </w:rPr>
      </w:pPr>
      <w:r w:rsidRPr="00155B11">
        <w:rPr>
          <w:rFonts w:ascii="Times New Roman" w:eastAsia="Times New Roman" w:hAnsi="Times New Roman" w:cs="Times New Roman"/>
          <w:color w:val="000000"/>
          <w:sz w:val="24"/>
          <w:szCs w:val="24"/>
        </w:rPr>
        <w:t>79. Levy JB, Turner AN, Rees AJ, Pusey CD. Long-term outcome of anti-glomerular basement membrane antibody disease treated with plasma exchange and immunosuppression. </w:t>
      </w:r>
      <w:r w:rsidRPr="00155B11">
        <w:rPr>
          <w:rFonts w:ascii="Times New Roman" w:eastAsia="Times New Roman" w:hAnsi="Times New Roman" w:cs="Times New Roman"/>
          <w:i/>
          <w:iCs/>
          <w:color w:val="000000"/>
          <w:sz w:val="24"/>
          <w:szCs w:val="24"/>
        </w:rPr>
        <w:t>Ann Intern Med. </w:t>
      </w:r>
      <w:r w:rsidRPr="00155B11">
        <w:rPr>
          <w:rFonts w:ascii="Times New Roman" w:eastAsia="Times New Roman" w:hAnsi="Times New Roman" w:cs="Times New Roman"/>
          <w:color w:val="000000"/>
          <w:sz w:val="24"/>
          <w:szCs w:val="24"/>
        </w:rPr>
        <w:t>2001;134(11):1033–1042. [</w:t>
      </w:r>
      <w:hyperlink r:id="rId274" w:history="1">
        <w:r w:rsidRPr="00155B11">
          <w:rPr>
            <w:rFonts w:ascii="Times New Roman" w:eastAsia="Times New Roman" w:hAnsi="Times New Roman" w:cs="Times New Roman"/>
            <w:color w:val="2F4A8B"/>
            <w:sz w:val="24"/>
            <w:szCs w:val="24"/>
            <w:u w:val="single"/>
          </w:rPr>
          <w:t>PubMed</w:t>
        </w:r>
      </w:hyperlink>
      <w:r w:rsidRPr="00155B11">
        <w:rPr>
          <w:rFonts w:ascii="Times New Roman" w:eastAsia="Times New Roman" w:hAnsi="Times New Roman" w:cs="Times New Roman"/>
          <w:color w:val="000000"/>
          <w:sz w:val="24"/>
          <w:szCs w:val="24"/>
        </w:rPr>
        <w:t>] [</w:t>
      </w:r>
      <w:hyperlink r:id="rId275" w:tgtFrame="_blank" w:history="1">
        <w:r w:rsidRPr="00155B11">
          <w:rPr>
            <w:rFonts w:ascii="Times New Roman" w:eastAsia="Times New Roman" w:hAnsi="Times New Roman" w:cs="Times New Roman"/>
            <w:color w:val="2F4A8B"/>
            <w:sz w:val="24"/>
            <w:szCs w:val="24"/>
            <w:u w:val="single"/>
          </w:rPr>
          <w:t>Google Scholar</w:t>
        </w:r>
      </w:hyperlink>
      <w:r w:rsidRPr="00155B11">
        <w:rPr>
          <w:rFonts w:ascii="Times New Roman" w:eastAsia="Times New Roman" w:hAnsi="Times New Roman" w:cs="Times New Roman"/>
          <w:color w:val="000000"/>
          <w:sz w:val="24"/>
          <w:szCs w:val="24"/>
        </w:rPr>
        <w:t>]</w:t>
      </w:r>
    </w:p>
    <w:p w:rsidR="00155B11" w:rsidRPr="00155B11" w:rsidRDefault="00155B11" w:rsidP="00155B11">
      <w:pPr>
        <w:shd w:val="clear" w:color="auto" w:fill="FFFFFF"/>
        <w:spacing w:line="240" w:lineRule="auto"/>
        <w:rPr>
          <w:rFonts w:ascii="Times New Roman" w:eastAsia="Times New Roman" w:hAnsi="Times New Roman" w:cs="Times New Roman"/>
          <w:color w:val="000000"/>
          <w:sz w:val="24"/>
          <w:szCs w:val="24"/>
        </w:rPr>
      </w:pPr>
      <w:r w:rsidRPr="00155B11">
        <w:rPr>
          <w:rFonts w:ascii="Times New Roman" w:eastAsia="Times New Roman" w:hAnsi="Times New Roman" w:cs="Times New Roman"/>
          <w:color w:val="000000"/>
          <w:sz w:val="24"/>
          <w:szCs w:val="24"/>
        </w:rPr>
        <w:t>80. Simpson IJ, Doak PB, Williams LC, et al. Plasma exchange in Goodpasture's syndrome. </w:t>
      </w:r>
      <w:r w:rsidRPr="00155B11">
        <w:rPr>
          <w:rFonts w:ascii="Times New Roman" w:eastAsia="Times New Roman" w:hAnsi="Times New Roman" w:cs="Times New Roman"/>
          <w:i/>
          <w:iCs/>
          <w:color w:val="000000"/>
          <w:sz w:val="24"/>
          <w:szCs w:val="24"/>
        </w:rPr>
        <w:t>Am J Nephrol. </w:t>
      </w:r>
      <w:r w:rsidRPr="00155B11">
        <w:rPr>
          <w:rFonts w:ascii="Times New Roman" w:eastAsia="Times New Roman" w:hAnsi="Times New Roman" w:cs="Times New Roman"/>
          <w:color w:val="000000"/>
          <w:sz w:val="24"/>
          <w:szCs w:val="24"/>
        </w:rPr>
        <w:t>1982;2(6):301–311. [</w:t>
      </w:r>
      <w:hyperlink r:id="rId276" w:history="1">
        <w:r w:rsidRPr="00155B11">
          <w:rPr>
            <w:rFonts w:ascii="Times New Roman" w:eastAsia="Times New Roman" w:hAnsi="Times New Roman" w:cs="Times New Roman"/>
            <w:color w:val="2F4A8B"/>
            <w:sz w:val="24"/>
            <w:szCs w:val="24"/>
            <w:u w:val="single"/>
          </w:rPr>
          <w:t>PubMed</w:t>
        </w:r>
      </w:hyperlink>
      <w:r w:rsidRPr="00155B11">
        <w:rPr>
          <w:rFonts w:ascii="Times New Roman" w:eastAsia="Times New Roman" w:hAnsi="Times New Roman" w:cs="Times New Roman"/>
          <w:color w:val="000000"/>
          <w:sz w:val="24"/>
          <w:szCs w:val="24"/>
        </w:rPr>
        <w:t>] [</w:t>
      </w:r>
      <w:hyperlink r:id="rId277" w:tgtFrame="_blank" w:history="1">
        <w:r w:rsidRPr="00155B11">
          <w:rPr>
            <w:rFonts w:ascii="Times New Roman" w:eastAsia="Times New Roman" w:hAnsi="Times New Roman" w:cs="Times New Roman"/>
            <w:color w:val="2F4A8B"/>
            <w:sz w:val="24"/>
            <w:szCs w:val="24"/>
            <w:u w:val="single"/>
          </w:rPr>
          <w:t>Google Scholar</w:t>
        </w:r>
      </w:hyperlink>
      <w:r w:rsidRPr="00155B11">
        <w:rPr>
          <w:rFonts w:ascii="Times New Roman" w:eastAsia="Times New Roman" w:hAnsi="Times New Roman" w:cs="Times New Roman"/>
          <w:color w:val="000000"/>
          <w:sz w:val="24"/>
          <w:szCs w:val="24"/>
        </w:rPr>
        <w:t>]</w:t>
      </w:r>
    </w:p>
    <w:p w:rsidR="00155B11" w:rsidRPr="00155B11" w:rsidRDefault="00155B11" w:rsidP="00155B11">
      <w:pPr>
        <w:shd w:val="clear" w:color="auto" w:fill="FFFFFF"/>
        <w:spacing w:line="240" w:lineRule="auto"/>
        <w:rPr>
          <w:rFonts w:ascii="Times New Roman" w:eastAsia="Times New Roman" w:hAnsi="Times New Roman" w:cs="Times New Roman"/>
          <w:color w:val="000000"/>
          <w:sz w:val="24"/>
          <w:szCs w:val="24"/>
        </w:rPr>
      </w:pPr>
      <w:r w:rsidRPr="00155B11">
        <w:rPr>
          <w:rFonts w:ascii="Times New Roman" w:eastAsia="Times New Roman" w:hAnsi="Times New Roman" w:cs="Times New Roman"/>
          <w:color w:val="000000"/>
          <w:sz w:val="24"/>
          <w:szCs w:val="24"/>
        </w:rPr>
        <w:t>81. Lazor R, Bigay-Game L, Cottin V, et al. Alveolar hemorrhage in anti-basement membrane antibody disease: a series of 28 cases. </w:t>
      </w:r>
      <w:r w:rsidRPr="00155B11">
        <w:rPr>
          <w:rFonts w:ascii="Times New Roman" w:eastAsia="Times New Roman" w:hAnsi="Times New Roman" w:cs="Times New Roman"/>
          <w:i/>
          <w:iCs/>
          <w:color w:val="000000"/>
          <w:sz w:val="24"/>
          <w:szCs w:val="24"/>
        </w:rPr>
        <w:t>Medicine (Baltimore) </w:t>
      </w:r>
      <w:r w:rsidRPr="00155B11">
        <w:rPr>
          <w:rFonts w:ascii="Times New Roman" w:eastAsia="Times New Roman" w:hAnsi="Times New Roman" w:cs="Times New Roman"/>
          <w:color w:val="000000"/>
          <w:sz w:val="24"/>
          <w:szCs w:val="24"/>
        </w:rPr>
        <w:t>2007;86(3):181–193. [</w:t>
      </w:r>
      <w:hyperlink r:id="rId278" w:history="1">
        <w:r w:rsidRPr="00155B11">
          <w:rPr>
            <w:rFonts w:ascii="Times New Roman" w:eastAsia="Times New Roman" w:hAnsi="Times New Roman" w:cs="Times New Roman"/>
            <w:color w:val="2F4A8B"/>
            <w:sz w:val="24"/>
            <w:szCs w:val="24"/>
            <w:u w:val="single"/>
          </w:rPr>
          <w:t>PubMed</w:t>
        </w:r>
      </w:hyperlink>
      <w:r w:rsidRPr="00155B11">
        <w:rPr>
          <w:rFonts w:ascii="Times New Roman" w:eastAsia="Times New Roman" w:hAnsi="Times New Roman" w:cs="Times New Roman"/>
          <w:color w:val="000000"/>
          <w:sz w:val="24"/>
          <w:szCs w:val="24"/>
        </w:rPr>
        <w:t>] [</w:t>
      </w:r>
      <w:hyperlink r:id="rId279" w:tgtFrame="_blank" w:history="1">
        <w:r w:rsidRPr="00155B11">
          <w:rPr>
            <w:rFonts w:ascii="Times New Roman" w:eastAsia="Times New Roman" w:hAnsi="Times New Roman" w:cs="Times New Roman"/>
            <w:color w:val="2F4A8B"/>
            <w:sz w:val="24"/>
            <w:szCs w:val="24"/>
            <w:u w:val="single"/>
          </w:rPr>
          <w:t>Google Scholar</w:t>
        </w:r>
      </w:hyperlink>
      <w:r w:rsidRPr="00155B11">
        <w:rPr>
          <w:rFonts w:ascii="Times New Roman" w:eastAsia="Times New Roman" w:hAnsi="Times New Roman" w:cs="Times New Roman"/>
          <w:color w:val="000000"/>
          <w:sz w:val="24"/>
          <w:szCs w:val="24"/>
        </w:rPr>
        <w:t>]</w:t>
      </w:r>
    </w:p>
    <w:p w:rsidR="00155B11" w:rsidRPr="00155B11" w:rsidRDefault="00155B11" w:rsidP="00155B11">
      <w:pPr>
        <w:shd w:val="clear" w:color="auto" w:fill="FFFFFF"/>
        <w:spacing w:line="240" w:lineRule="auto"/>
        <w:rPr>
          <w:rFonts w:ascii="Times New Roman" w:eastAsia="Times New Roman" w:hAnsi="Times New Roman" w:cs="Times New Roman"/>
          <w:color w:val="000000"/>
          <w:sz w:val="24"/>
          <w:szCs w:val="24"/>
        </w:rPr>
      </w:pPr>
      <w:r w:rsidRPr="00155B11">
        <w:rPr>
          <w:rFonts w:ascii="Times New Roman" w:eastAsia="Times New Roman" w:hAnsi="Times New Roman" w:cs="Times New Roman"/>
          <w:color w:val="000000"/>
          <w:sz w:val="24"/>
          <w:szCs w:val="24"/>
        </w:rPr>
        <w:t>82. Zauner I, Bach D, Braun N, et al. Predictive value of initial histology and effect of plasmapheresis on long-term prognosis of rapidly progressive glomerulonephritis. </w:t>
      </w:r>
      <w:r w:rsidRPr="00155B11">
        <w:rPr>
          <w:rFonts w:ascii="Times New Roman" w:eastAsia="Times New Roman" w:hAnsi="Times New Roman" w:cs="Times New Roman"/>
          <w:i/>
          <w:iCs/>
          <w:color w:val="000000"/>
          <w:sz w:val="24"/>
          <w:szCs w:val="24"/>
        </w:rPr>
        <w:t>Am J Kidney Dis. </w:t>
      </w:r>
      <w:r w:rsidRPr="00155B11">
        <w:rPr>
          <w:rFonts w:ascii="Times New Roman" w:eastAsia="Times New Roman" w:hAnsi="Times New Roman" w:cs="Times New Roman"/>
          <w:color w:val="000000"/>
          <w:sz w:val="24"/>
          <w:szCs w:val="24"/>
        </w:rPr>
        <w:t>2002;39(1):28–35. [</w:t>
      </w:r>
      <w:hyperlink r:id="rId280" w:history="1">
        <w:r w:rsidRPr="00155B11">
          <w:rPr>
            <w:rFonts w:ascii="Times New Roman" w:eastAsia="Times New Roman" w:hAnsi="Times New Roman" w:cs="Times New Roman"/>
            <w:color w:val="2F4A8B"/>
            <w:sz w:val="24"/>
            <w:szCs w:val="24"/>
            <w:u w:val="single"/>
          </w:rPr>
          <w:t>PubMed</w:t>
        </w:r>
      </w:hyperlink>
      <w:r w:rsidRPr="00155B11">
        <w:rPr>
          <w:rFonts w:ascii="Times New Roman" w:eastAsia="Times New Roman" w:hAnsi="Times New Roman" w:cs="Times New Roman"/>
          <w:color w:val="000000"/>
          <w:sz w:val="24"/>
          <w:szCs w:val="24"/>
        </w:rPr>
        <w:t>] [</w:t>
      </w:r>
      <w:hyperlink r:id="rId281" w:tgtFrame="_blank" w:history="1">
        <w:r w:rsidRPr="00155B11">
          <w:rPr>
            <w:rFonts w:ascii="Times New Roman" w:eastAsia="Times New Roman" w:hAnsi="Times New Roman" w:cs="Times New Roman"/>
            <w:color w:val="2F4A8B"/>
            <w:sz w:val="24"/>
            <w:szCs w:val="24"/>
            <w:u w:val="single"/>
          </w:rPr>
          <w:t>Google Scholar</w:t>
        </w:r>
      </w:hyperlink>
      <w:r w:rsidRPr="00155B11">
        <w:rPr>
          <w:rFonts w:ascii="Times New Roman" w:eastAsia="Times New Roman" w:hAnsi="Times New Roman" w:cs="Times New Roman"/>
          <w:color w:val="000000"/>
          <w:sz w:val="24"/>
          <w:szCs w:val="24"/>
        </w:rPr>
        <w:t>]</w:t>
      </w:r>
    </w:p>
    <w:p w:rsidR="00155B11" w:rsidRPr="00155B11" w:rsidRDefault="00155B11" w:rsidP="00155B11">
      <w:pPr>
        <w:shd w:val="clear" w:color="auto" w:fill="FFFFFF"/>
        <w:spacing w:line="240" w:lineRule="auto"/>
        <w:rPr>
          <w:rFonts w:ascii="Times New Roman" w:eastAsia="Times New Roman" w:hAnsi="Times New Roman" w:cs="Times New Roman"/>
          <w:color w:val="000000"/>
          <w:sz w:val="24"/>
          <w:szCs w:val="24"/>
        </w:rPr>
      </w:pPr>
      <w:r w:rsidRPr="00155B11">
        <w:rPr>
          <w:rFonts w:ascii="Times New Roman" w:eastAsia="Times New Roman" w:hAnsi="Times New Roman" w:cs="Times New Roman"/>
          <w:color w:val="000000"/>
          <w:sz w:val="24"/>
          <w:szCs w:val="24"/>
        </w:rPr>
        <w:lastRenderedPageBreak/>
        <w:t>83. Little MA, Pusey CD. Rapidly progressive glomerulonephritis: current and evolving treatment strategies. </w:t>
      </w:r>
      <w:r w:rsidRPr="00155B11">
        <w:rPr>
          <w:rFonts w:ascii="Times New Roman" w:eastAsia="Times New Roman" w:hAnsi="Times New Roman" w:cs="Times New Roman"/>
          <w:i/>
          <w:iCs/>
          <w:color w:val="000000"/>
          <w:sz w:val="24"/>
          <w:szCs w:val="24"/>
        </w:rPr>
        <w:t>J Nephrol. </w:t>
      </w:r>
      <w:r w:rsidRPr="00155B11">
        <w:rPr>
          <w:rFonts w:ascii="Times New Roman" w:eastAsia="Times New Roman" w:hAnsi="Times New Roman" w:cs="Times New Roman"/>
          <w:color w:val="000000"/>
          <w:sz w:val="24"/>
          <w:szCs w:val="24"/>
        </w:rPr>
        <w:t>2004;17(Suppl 8):S10–S19. [</w:t>
      </w:r>
      <w:hyperlink r:id="rId282" w:history="1">
        <w:r w:rsidRPr="00155B11">
          <w:rPr>
            <w:rFonts w:ascii="Times New Roman" w:eastAsia="Times New Roman" w:hAnsi="Times New Roman" w:cs="Times New Roman"/>
            <w:color w:val="2F4A8B"/>
            <w:sz w:val="24"/>
            <w:szCs w:val="24"/>
            <w:u w:val="single"/>
          </w:rPr>
          <w:t>PubMed</w:t>
        </w:r>
      </w:hyperlink>
      <w:r w:rsidRPr="00155B11">
        <w:rPr>
          <w:rFonts w:ascii="Times New Roman" w:eastAsia="Times New Roman" w:hAnsi="Times New Roman" w:cs="Times New Roman"/>
          <w:color w:val="000000"/>
          <w:sz w:val="24"/>
          <w:szCs w:val="24"/>
        </w:rPr>
        <w:t>] [</w:t>
      </w:r>
      <w:hyperlink r:id="rId283" w:tgtFrame="_blank" w:history="1">
        <w:r w:rsidRPr="00155B11">
          <w:rPr>
            <w:rFonts w:ascii="Times New Roman" w:eastAsia="Times New Roman" w:hAnsi="Times New Roman" w:cs="Times New Roman"/>
            <w:color w:val="2F4A8B"/>
            <w:sz w:val="24"/>
            <w:szCs w:val="24"/>
            <w:u w:val="single"/>
          </w:rPr>
          <w:t>Google Scholar</w:t>
        </w:r>
      </w:hyperlink>
      <w:r w:rsidRPr="00155B11">
        <w:rPr>
          <w:rFonts w:ascii="Times New Roman" w:eastAsia="Times New Roman" w:hAnsi="Times New Roman" w:cs="Times New Roman"/>
          <w:color w:val="000000"/>
          <w:sz w:val="24"/>
          <w:szCs w:val="24"/>
        </w:rPr>
        <w:t>]</w:t>
      </w:r>
    </w:p>
    <w:p w:rsidR="00155B11" w:rsidRPr="00155B11" w:rsidRDefault="00155B11" w:rsidP="00155B11">
      <w:pPr>
        <w:shd w:val="clear" w:color="auto" w:fill="FFFFFF"/>
        <w:spacing w:line="240" w:lineRule="auto"/>
        <w:rPr>
          <w:rFonts w:ascii="Times New Roman" w:eastAsia="Times New Roman" w:hAnsi="Times New Roman" w:cs="Times New Roman"/>
          <w:color w:val="000000"/>
          <w:sz w:val="24"/>
          <w:szCs w:val="24"/>
        </w:rPr>
      </w:pPr>
      <w:r w:rsidRPr="00155B11">
        <w:rPr>
          <w:rFonts w:ascii="Times New Roman" w:eastAsia="Times New Roman" w:hAnsi="Times New Roman" w:cs="Times New Roman"/>
          <w:color w:val="000000"/>
          <w:sz w:val="24"/>
          <w:szCs w:val="24"/>
        </w:rPr>
        <w:t>84. Frasca GM, Soverini ML, Falaschini A, Tampieri E, Vangelista A, Stefoni S. Plasma exchange treatment improves prognosis of antineutrophil cytoplasmic antibody-associated crescentic glomerulonephritis: a case-control study in 26 patients from a single center. </w:t>
      </w:r>
      <w:r w:rsidRPr="00155B11">
        <w:rPr>
          <w:rFonts w:ascii="Times New Roman" w:eastAsia="Times New Roman" w:hAnsi="Times New Roman" w:cs="Times New Roman"/>
          <w:i/>
          <w:iCs/>
          <w:color w:val="000000"/>
          <w:sz w:val="24"/>
          <w:szCs w:val="24"/>
        </w:rPr>
        <w:t>Ther Apher Dial. </w:t>
      </w:r>
      <w:r w:rsidRPr="00155B11">
        <w:rPr>
          <w:rFonts w:ascii="Times New Roman" w:eastAsia="Times New Roman" w:hAnsi="Times New Roman" w:cs="Times New Roman"/>
          <w:color w:val="000000"/>
          <w:sz w:val="24"/>
          <w:szCs w:val="24"/>
        </w:rPr>
        <w:t>2003;7(6):540–546. [</w:t>
      </w:r>
      <w:hyperlink r:id="rId284" w:history="1">
        <w:r w:rsidRPr="00155B11">
          <w:rPr>
            <w:rFonts w:ascii="Times New Roman" w:eastAsia="Times New Roman" w:hAnsi="Times New Roman" w:cs="Times New Roman"/>
            <w:color w:val="2F4A8B"/>
            <w:sz w:val="24"/>
            <w:szCs w:val="24"/>
            <w:u w:val="single"/>
          </w:rPr>
          <w:t>PubMed</w:t>
        </w:r>
      </w:hyperlink>
      <w:r w:rsidRPr="00155B11">
        <w:rPr>
          <w:rFonts w:ascii="Times New Roman" w:eastAsia="Times New Roman" w:hAnsi="Times New Roman" w:cs="Times New Roman"/>
          <w:color w:val="000000"/>
          <w:sz w:val="24"/>
          <w:szCs w:val="24"/>
        </w:rPr>
        <w:t>] [</w:t>
      </w:r>
      <w:hyperlink r:id="rId285" w:tgtFrame="_blank" w:history="1">
        <w:r w:rsidRPr="00155B11">
          <w:rPr>
            <w:rFonts w:ascii="Times New Roman" w:eastAsia="Times New Roman" w:hAnsi="Times New Roman" w:cs="Times New Roman"/>
            <w:color w:val="2F4A8B"/>
            <w:sz w:val="24"/>
            <w:szCs w:val="24"/>
            <w:u w:val="single"/>
          </w:rPr>
          <w:t>Google Scholar</w:t>
        </w:r>
      </w:hyperlink>
      <w:r w:rsidRPr="00155B11">
        <w:rPr>
          <w:rFonts w:ascii="Times New Roman" w:eastAsia="Times New Roman" w:hAnsi="Times New Roman" w:cs="Times New Roman"/>
          <w:color w:val="000000"/>
          <w:sz w:val="24"/>
          <w:szCs w:val="24"/>
        </w:rPr>
        <w:t>]</w:t>
      </w:r>
    </w:p>
    <w:p w:rsidR="00155B11" w:rsidRPr="00155B11" w:rsidRDefault="00155B11" w:rsidP="00155B11">
      <w:pPr>
        <w:shd w:val="clear" w:color="auto" w:fill="FFFFFF"/>
        <w:spacing w:line="240" w:lineRule="auto"/>
        <w:rPr>
          <w:rFonts w:ascii="Times New Roman" w:eastAsia="Times New Roman" w:hAnsi="Times New Roman" w:cs="Times New Roman"/>
          <w:color w:val="000000"/>
          <w:sz w:val="24"/>
          <w:szCs w:val="24"/>
        </w:rPr>
      </w:pPr>
      <w:r w:rsidRPr="00155B11">
        <w:rPr>
          <w:rFonts w:ascii="Times New Roman" w:eastAsia="Times New Roman" w:hAnsi="Times New Roman" w:cs="Times New Roman"/>
          <w:color w:val="000000"/>
          <w:sz w:val="24"/>
          <w:szCs w:val="24"/>
        </w:rPr>
        <w:t>85. Klemmer PJ, Chalermskulrat W, Reif MS, Hogan SL, Henke DC, Falk RJ. Plasmapheresis therapy for diffuse alveolar hemorrhage in patients with small-vessel vasculitis. </w:t>
      </w:r>
      <w:r w:rsidRPr="00155B11">
        <w:rPr>
          <w:rFonts w:ascii="Times New Roman" w:eastAsia="Times New Roman" w:hAnsi="Times New Roman" w:cs="Times New Roman"/>
          <w:i/>
          <w:iCs/>
          <w:color w:val="000000"/>
          <w:sz w:val="24"/>
          <w:szCs w:val="24"/>
        </w:rPr>
        <w:t>Am J Kidney Dis. </w:t>
      </w:r>
      <w:r w:rsidRPr="00155B11">
        <w:rPr>
          <w:rFonts w:ascii="Times New Roman" w:eastAsia="Times New Roman" w:hAnsi="Times New Roman" w:cs="Times New Roman"/>
          <w:color w:val="000000"/>
          <w:sz w:val="24"/>
          <w:szCs w:val="24"/>
        </w:rPr>
        <w:t>2003;42(6):1149–1153. [</w:t>
      </w:r>
      <w:hyperlink r:id="rId286" w:history="1">
        <w:r w:rsidRPr="00155B11">
          <w:rPr>
            <w:rFonts w:ascii="Times New Roman" w:eastAsia="Times New Roman" w:hAnsi="Times New Roman" w:cs="Times New Roman"/>
            <w:color w:val="2F4A8B"/>
            <w:sz w:val="24"/>
            <w:szCs w:val="24"/>
            <w:u w:val="single"/>
          </w:rPr>
          <w:t>PubMed</w:t>
        </w:r>
      </w:hyperlink>
      <w:r w:rsidRPr="00155B11">
        <w:rPr>
          <w:rFonts w:ascii="Times New Roman" w:eastAsia="Times New Roman" w:hAnsi="Times New Roman" w:cs="Times New Roman"/>
          <w:color w:val="000000"/>
          <w:sz w:val="24"/>
          <w:szCs w:val="24"/>
        </w:rPr>
        <w:t>] [</w:t>
      </w:r>
      <w:hyperlink r:id="rId287" w:tgtFrame="_blank" w:history="1">
        <w:r w:rsidRPr="00155B11">
          <w:rPr>
            <w:rFonts w:ascii="Times New Roman" w:eastAsia="Times New Roman" w:hAnsi="Times New Roman" w:cs="Times New Roman"/>
            <w:color w:val="2F4A8B"/>
            <w:sz w:val="24"/>
            <w:szCs w:val="24"/>
            <w:u w:val="single"/>
          </w:rPr>
          <w:t>Google Scholar</w:t>
        </w:r>
      </w:hyperlink>
      <w:r w:rsidRPr="00155B11">
        <w:rPr>
          <w:rFonts w:ascii="Times New Roman" w:eastAsia="Times New Roman" w:hAnsi="Times New Roman" w:cs="Times New Roman"/>
          <w:color w:val="000000"/>
          <w:sz w:val="24"/>
          <w:szCs w:val="24"/>
        </w:rPr>
        <w:t>]</w:t>
      </w:r>
    </w:p>
    <w:p w:rsidR="00155B11" w:rsidRPr="00155B11" w:rsidRDefault="00155B11" w:rsidP="00155B11">
      <w:pPr>
        <w:shd w:val="clear" w:color="auto" w:fill="FFFFFF"/>
        <w:spacing w:line="240" w:lineRule="auto"/>
        <w:rPr>
          <w:rFonts w:ascii="Times New Roman" w:eastAsia="Times New Roman" w:hAnsi="Times New Roman" w:cs="Times New Roman"/>
          <w:color w:val="000000"/>
          <w:sz w:val="24"/>
          <w:szCs w:val="24"/>
        </w:rPr>
      </w:pPr>
      <w:r w:rsidRPr="00155B11">
        <w:rPr>
          <w:rFonts w:ascii="Times New Roman" w:eastAsia="Times New Roman" w:hAnsi="Times New Roman" w:cs="Times New Roman"/>
          <w:color w:val="000000"/>
          <w:sz w:val="24"/>
          <w:szCs w:val="24"/>
        </w:rPr>
        <w:t>86. de Lind van Wijngaarden RA, Hauer HA, Wolterbeek R, et al. Clinical and histologic determinants of renal outcome in ANCA-associated vasculitis: A prospective analysis of 100 patients with severe renal involvement. </w:t>
      </w:r>
      <w:r w:rsidRPr="00155B11">
        <w:rPr>
          <w:rFonts w:ascii="Times New Roman" w:eastAsia="Times New Roman" w:hAnsi="Times New Roman" w:cs="Times New Roman"/>
          <w:i/>
          <w:iCs/>
          <w:color w:val="000000"/>
          <w:sz w:val="24"/>
          <w:szCs w:val="24"/>
        </w:rPr>
        <w:t>J Am Soc Nephrol. </w:t>
      </w:r>
      <w:r w:rsidRPr="00155B11">
        <w:rPr>
          <w:rFonts w:ascii="Times New Roman" w:eastAsia="Times New Roman" w:hAnsi="Times New Roman" w:cs="Times New Roman"/>
          <w:color w:val="000000"/>
          <w:sz w:val="24"/>
          <w:szCs w:val="24"/>
        </w:rPr>
        <w:t>2006;17(8):2264–2274. [</w:t>
      </w:r>
      <w:hyperlink r:id="rId288" w:history="1">
        <w:r w:rsidRPr="00155B11">
          <w:rPr>
            <w:rFonts w:ascii="Times New Roman" w:eastAsia="Times New Roman" w:hAnsi="Times New Roman" w:cs="Times New Roman"/>
            <w:color w:val="2F4A8B"/>
            <w:sz w:val="24"/>
            <w:szCs w:val="24"/>
            <w:u w:val="single"/>
          </w:rPr>
          <w:t>PubMed</w:t>
        </w:r>
      </w:hyperlink>
      <w:r w:rsidRPr="00155B11">
        <w:rPr>
          <w:rFonts w:ascii="Times New Roman" w:eastAsia="Times New Roman" w:hAnsi="Times New Roman" w:cs="Times New Roman"/>
          <w:color w:val="000000"/>
          <w:sz w:val="24"/>
          <w:szCs w:val="24"/>
        </w:rPr>
        <w:t>] [</w:t>
      </w:r>
      <w:hyperlink r:id="rId289" w:tgtFrame="_blank" w:history="1">
        <w:r w:rsidRPr="00155B11">
          <w:rPr>
            <w:rFonts w:ascii="Times New Roman" w:eastAsia="Times New Roman" w:hAnsi="Times New Roman" w:cs="Times New Roman"/>
            <w:color w:val="2F4A8B"/>
            <w:sz w:val="24"/>
            <w:szCs w:val="24"/>
            <w:u w:val="single"/>
          </w:rPr>
          <w:t>Google Scholar</w:t>
        </w:r>
      </w:hyperlink>
      <w:r w:rsidRPr="00155B11">
        <w:rPr>
          <w:rFonts w:ascii="Times New Roman" w:eastAsia="Times New Roman" w:hAnsi="Times New Roman" w:cs="Times New Roman"/>
          <w:color w:val="000000"/>
          <w:sz w:val="24"/>
          <w:szCs w:val="24"/>
        </w:rPr>
        <w:t>]</w:t>
      </w:r>
    </w:p>
    <w:p w:rsidR="00155B11" w:rsidRPr="00155B11" w:rsidRDefault="00155B11" w:rsidP="00155B11">
      <w:pPr>
        <w:shd w:val="clear" w:color="auto" w:fill="FFFFFF"/>
        <w:spacing w:line="240" w:lineRule="auto"/>
        <w:rPr>
          <w:rFonts w:ascii="Times New Roman" w:eastAsia="Times New Roman" w:hAnsi="Times New Roman" w:cs="Times New Roman"/>
          <w:color w:val="000000"/>
          <w:sz w:val="24"/>
          <w:szCs w:val="24"/>
        </w:rPr>
      </w:pPr>
      <w:r w:rsidRPr="00155B11">
        <w:rPr>
          <w:rFonts w:ascii="Times New Roman" w:eastAsia="Times New Roman" w:hAnsi="Times New Roman" w:cs="Times New Roman"/>
          <w:color w:val="000000"/>
          <w:sz w:val="24"/>
          <w:szCs w:val="24"/>
        </w:rPr>
        <w:t>87. Jayne DR, Gaskin G, Rasmussen N, et al. Randomized trial of plasma exchange or high-dosage methylprednisolone as adjunctive therapy for severe renal vasculitis. </w:t>
      </w:r>
      <w:r w:rsidRPr="00155B11">
        <w:rPr>
          <w:rFonts w:ascii="Times New Roman" w:eastAsia="Times New Roman" w:hAnsi="Times New Roman" w:cs="Times New Roman"/>
          <w:i/>
          <w:iCs/>
          <w:color w:val="000000"/>
          <w:sz w:val="24"/>
          <w:szCs w:val="24"/>
        </w:rPr>
        <w:t>J Am Soc Nephrol. </w:t>
      </w:r>
      <w:r w:rsidRPr="00155B11">
        <w:rPr>
          <w:rFonts w:ascii="Times New Roman" w:eastAsia="Times New Roman" w:hAnsi="Times New Roman" w:cs="Times New Roman"/>
          <w:color w:val="000000"/>
          <w:sz w:val="24"/>
          <w:szCs w:val="24"/>
        </w:rPr>
        <w:t>2007;18(7):2180–2188. [</w:t>
      </w:r>
      <w:hyperlink r:id="rId290" w:history="1">
        <w:r w:rsidRPr="00155B11">
          <w:rPr>
            <w:rFonts w:ascii="Times New Roman" w:eastAsia="Times New Roman" w:hAnsi="Times New Roman" w:cs="Times New Roman"/>
            <w:color w:val="2F4A8B"/>
            <w:sz w:val="24"/>
            <w:szCs w:val="24"/>
            <w:u w:val="single"/>
          </w:rPr>
          <w:t>PubMed</w:t>
        </w:r>
      </w:hyperlink>
      <w:r w:rsidRPr="00155B11">
        <w:rPr>
          <w:rFonts w:ascii="Times New Roman" w:eastAsia="Times New Roman" w:hAnsi="Times New Roman" w:cs="Times New Roman"/>
          <w:color w:val="000000"/>
          <w:sz w:val="24"/>
          <w:szCs w:val="24"/>
        </w:rPr>
        <w:t>] [</w:t>
      </w:r>
      <w:hyperlink r:id="rId291" w:tgtFrame="_blank" w:history="1">
        <w:r w:rsidRPr="00155B11">
          <w:rPr>
            <w:rFonts w:ascii="Times New Roman" w:eastAsia="Times New Roman" w:hAnsi="Times New Roman" w:cs="Times New Roman"/>
            <w:color w:val="2F4A8B"/>
            <w:sz w:val="24"/>
            <w:szCs w:val="24"/>
            <w:u w:val="single"/>
          </w:rPr>
          <w:t>Google Scholar</w:t>
        </w:r>
      </w:hyperlink>
      <w:r w:rsidRPr="00155B11">
        <w:rPr>
          <w:rFonts w:ascii="Times New Roman" w:eastAsia="Times New Roman" w:hAnsi="Times New Roman" w:cs="Times New Roman"/>
          <w:color w:val="000000"/>
          <w:sz w:val="24"/>
          <w:szCs w:val="24"/>
        </w:rPr>
        <w:t>]</w:t>
      </w:r>
    </w:p>
    <w:p w:rsidR="00155B11" w:rsidRPr="00155B11" w:rsidRDefault="00155B11" w:rsidP="00155B11">
      <w:pPr>
        <w:shd w:val="clear" w:color="auto" w:fill="FFFFFF"/>
        <w:spacing w:line="240" w:lineRule="auto"/>
        <w:rPr>
          <w:rFonts w:ascii="Times New Roman" w:eastAsia="Times New Roman" w:hAnsi="Times New Roman" w:cs="Times New Roman"/>
          <w:color w:val="000000"/>
          <w:sz w:val="24"/>
          <w:szCs w:val="24"/>
        </w:rPr>
      </w:pPr>
      <w:r w:rsidRPr="00155B11">
        <w:rPr>
          <w:rFonts w:ascii="Times New Roman" w:eastAsia="Times New Roman" w:hAnsi="Times New Roman" w:cs="Times New Roman"/>
          <w:color w:val="000000"/>
          <w:sz w:val="24"/>
          <w:szCs w:val="24"/>
        </w:rPr>
        <w:t>88. Henter JI, Horne A, Arico M, et al. HLH-2004: Diagnostic and therapeutic guidelines for hemophagocytic lymphohistiocytosis. </w:t>
      </w:r>
      <w:r w:rsidRPr="00155B11">
        <w:rPr>
          <w:rFonts w:ascii="Times New Roman" w:eastAsia="Times New Roman" w:hAnsi="Times New Roman" w:cs="Times New Roman"/>
          <w:i/>
          <w:iCs/>
          <w:color w:val="000000"/>
          <w:sz w:val="24"/>
          <w:szCs w:val="24"/>
        </w:rPr>
        <w:t>Pediatr Blood Cancer. </w:t>
      </w:r>
      <w:r w:rsidRPr="00155B11">
        <w:rPr>
          <w:rFonts w:ascii="Times New Roman" w:eastAsia="Times New Roman" w:hAnsi="Times New Roman" w:cs="Times New Roman"/>
          <w:color w:val="000000"/>
          <w:sz w:val="24"/>
          <w:szCs w:val="24"/>
        </w:rPr>
        <w:t>2007;48(2):124–131. [</w:t>
      </w:r>
      <w:hyperlink r:id="rId292" w:history="1">
        <w:r w:rsidRPr="00155B11">
          <w:rPr>
            <w:rFonts w:ascii="Times New Roman" w:eastAsia="Times New Roman" w:hAnsi="Times New Roman" w:cs="Times New Roman"/>
            <w:color w:val="2F4A8B"/>
            <w:sz w:val="24"/>
            <w:szCs w:val="24"/>
            <w:u w:val="single"/>
          </w:rPr>
          <w:t>PubMed</w:t>
        </w:r>
      </w:hyperlink>
      <w:r w:rsidRPr="00155B11">
        <w:rPr>
          <w:rFonts w:ascii="Times New Roman" w:eastAsia="Times New Roman" w:hAnsi="Times New Roman" w:cs="Times New Roman"/>
          <w:color w:val="000000"/>
          <w:sz w:val="24"/>
          <w:szCs w:val="24"/>
        </w:rPr>
        <w:t>] [</w:t>
      </w:r>
      <w:hyperlink r:id="rId293" w:tgtFrame="_blank" w:history="1">
        <w:r w:rsidRPr="00155B11">
          <w:rPr>
            <w:rFonts w:ascii="Times New Roman" w:eastAsia="Times New Roman" w:hAnsi="Times New Roman" w:cs="Times New Roman"/>
            <w:color w:val="2F4A8B"/>
            <w:sz w:val="24"/>
            <w:szCs w:val="24"/>
            <w:u w:val="single"/>
          </w:rPr>
          <w:t>Google Scholar</w:t>
        </w:r>
      </w:hyperlink>
      <w:r w:rsidRPr="00155B11">
        <w:rPr>
          <w:rFonts w:ascii="Times New Roman" w:eastAsia="Times New Roman" w:hAnsi="Times New Roman" w:cs="Times New Roman"/>
          <w:color w:val="000000"/>
          <w:sz w:val="24"/>
          <w:szCs w:val="24"/>
        </w:rPr>
        <w:t>]</w:t>
      </w:r>
    </w:p>
    <w:p w:rsidR="00155B11" w:rsidRPr="00155B11" w:rsidRDefault="00155B11" w:rsidP="00155B11">
      <w:pPr>
        <w:shd w:val="clear" w:color="auto" w:fill="FFFFFF"/>
        <w:spacing w:line="240" w:lineRule="auto"/>
        <w:rPr>
          <w:rFonts w:ascii="Times New Roman" w:eastAsia="Times New Roman" w:hAnsi="Times New Roman" w:cs="Times New Roman"/>
          <w:color w:val="000000"/>
          <w:sz w:val="24"/>
          <w:szCs w:val="24"/>
        </w:rPr>
      </w:pPr>
      <w:r w:rsidRPr="00155B11">
        <w:rPr>
          <w:rFonts w:ascii="Times New Roman" w:eastAsia="Times New Roman" w:hAnsi="Times New Roman" w:cs="Times New Roman"/>
          <w:color w:val="000000"/>
          <w:sz w:val="24"/>
          <w:szCs w:val="24"/>
        </w:rPr>
        <w:t>89. Jordan MB, Allen CE, Weitzman S, Filipovich AH, McClain KL. How I treat hemophagocytic lymphohistiocytosis. </w:t>
      </w:r>
      <w:r w:rsidRPr="00155B11">
        <w:rPr>
          <w:rFonts w:ascii="Times New Roman" w:eastAsia="Times New Roman" w:hAnsi="Times New Roman" w:cs="Times New Roman"/>
          <w:i/>
          <w:iCs/>
          <w:color w:val="000000"/>
          <w:sz w:val="24"/>
          <w:szCs w:val="24"/>
        </w:rPr>
        <w:t>Blood. </w:t>
      </w:r>
      <w:r w:rsidRPr="00155B11">
        <w:rPr>
          <w:rFonts w:ascii="Times New Roman" w:eastAsia="Times New Roman" w:hAnsi="Times New Roman" w:cs="Times New Roman"/>
          <w:color w:val="000000"/>
          <w:sz w:val="24"/>
          <w:szCs w:val="24"/>
        </w:rPr>
        <w:t>2011;118(15):4041–4052. [</w:t>
      </w:r>
      <w:hyperlink r:id="rId294" w:history="1">
        <w:r w:rsidRPr="00155B11">
          <w:rPr>
            <w:rFonts w:ascii="Times New Roman" w:eastAsia="Times New Roman" w:hAnsi="Times New Roman" w:cs="Times New Roman"/>
            <w:color w:val="2F4A8B"/>
            <w:sz w:val="24"/>
            <w:szCs w:val="24"/>
            <w:u w:val="single"/>
          </w:rPr>
          <w:t>PMC free article</w:t>
        </w:r>
      </w:hyperlink>
      <w:r w:rsidRPr="00155B11">
        <w:rPr>
          <w:rFonts w:ascii="Times New Roman" w:eastAsia="Times New Roman" w:hAnsi="Times New Roman" w:cs="Times New Roman"/>
          <w:color w:val="000000"/>
          <w:sz w:val="24"/>
          <w:szCs w:val="24"/>
        </w:rPr>
        <w:t>] [</w:t>
      </w:r>
      <w:hyperlink r:id="rId295" w:history="1">
        <w:r w:rsidRPr="00155B11">
          <w:rPr>
            <w:rFonts w:ascii="Times New Roman" w:eastAsia="Times New Roman" w:hAnsi="Times New Roman" w:cs="Times New Roman"/>
            <w:color w:val="2F4A8B"/>
            <w:sz w:val="24"/>
            <w:szCs w:val="24"/>
            <w:u w:val="single"/>
          </w:rPr>
          <w:t>PubMed</w:t>
        </w:r>
      </w:hyperlink>
      <w:r w:rsidRPr="00155B11">
        <w:rPr>
          <w:rFonts w:ascii="Times New Roman" w:eastAsia="Times New Roman" w:hAnsi="Times New Roman" w:cs="Times New Roman"/>
          <w:color w:val="000000"/>
          <w:sz w:val="24"/>
          <w:szCs w:val="24"/>
        </w:rPr>
        <w:t>] [</w:t>
      </w:r>
      <w:hyperlink r:id="rId296" w:tgtFrame="_blank" w:history="1">
        <w:r w:rsidRPr="00155B11">
          <w:rPr>
            <w:rFonts w:ascii="Times New Roman" w:eastAsia="Times New Roman" w:hAnsi="Times New Roman" w:cs="Times New Roman"/>
            <w:color w:val="2F4A8B"/>
            <w:sz w:val="24"/>
            <w:szCs w:val="24"/>
            <w:u w:val="single"/>
          </w:rPr>
          <w:t>Google Scholar</w:t>
        </w:r>
      </w:hyperlink>
      <w:r w:rsidRPr="00155B11">
        <w:rPr>
          <w:rFonts w:ascii="Times New Roman" w:eastAsia="Times New Roman" w:hAnsi="Times New Roman" w:cs="Times New Roman"/>
          <w:color w:val="000000"/>
          <w:sz w:val="24"/>
          <w:szCs w:val="24"/>
        </w:rPr>
        <w:t>]</w:t>
      </w:r>
    </w:p>
    <w:p w:rsidR="00155B11" w:rsidRPr="00155B11" w:rsidRDefault="00155B11" w:rsidP="00155B11">
      <w:pPr>
        <w:shd w:val="clear" w:color="auto" w:fill="FFFFFF"/>
        <w:spacing w:line="240" w:lineRule="auto"/>
        <w:rPr>
          <w:rFonts w:ascii="Times New Roman" w:eastAsia="Times New Roman" w:hAnsi="Times New Roman" w:cs="Times New Roman"/>
          <w:color w:val="000000"/>
          <w:sz w:val="24"/>
          <w:szCs w:val="24"/>
        </w:rPr>
      </w:pPr>
      <w:r w:rsidRPr="00155B11">
        <w:rPr>
          <w:rFonts w:ascii="Times New Roman" w:eastAsia="Times New Roman" w:hAnsi="Times New Roman" w:cs="Times New Roman"/>
          <w:color w:val="000000"/>
          <w:sz w:val="24"/>
          <w:szCs w:val="24"/>
        </w:rPr>
        <w:t>90. Castillo L, Carcillo J. Secondary hemophagocytic lymphohistiocytosis and severe sepsis/ systemic inflammatory response syndrome/multiorgan dysfunction syndrome/macrophage activation syndrome share common intermediate phenotypes on a spectrum of inflammation. </w:t>
      </w:r>
      <w:r w:rsidRPr="00155B11">
        <w:rPr>
          <w:rFonts w:ascii="Times New Roman" w:eastAsia="Times New Roman" w:hAnsi="Times New Roman" w:cs="Times New Roman"/>
          <w:i/>
          <w:iCs/>
          <w:color w:val="000000"/>
          <w:sz w:val="24"/>
          <w:szCs w:val="24"/>
        </w:rPr>
        <w:t>Pediatr Crit Care Med. </w:t>
      </w:r>
      <w:r w:rsidRPr="00155B11">
        <w:rPr>
          <w:rFonts w:ascii="Times New Roman" w:eastAsia="Times New Roman" w:hAnsi="Times New Roman" w:cs="Times New Roman"/>
          <w:color w:val="000000"/>
          <w:sz w:val="24"/>
          <w:szCs w:val="24"/>
        </w:rPr>
        <w:t>2009;10(3):387–392. [</w:t>
      </w:r>
      <w:hyperlink r:id="rId297" w:history="1">
        <w:r w:rsidRPr="00155B11">
          <w:rPr>
            <w:rFonts w:ascii="Times New Roman" w:eastAsia="Times New Roman" w:hAnsi="Times New Roman" w:cs="Times New Roman"/>
            <w:color w:val="2F4A8B"/>
            <w:sz w:val="24"/>
            <w:szCs w:val="24"/>
            <w:u w:val="single"/>
          </w:rPr>
          <w:t>PubMed</w:t>
        </w:r>
      </w:hyperlink>
      <w:r w:rsidRPr="00155B11">
        <w:rPr>
          <w:rFonts w:ascii="Times New Roman" w:eastAsia="Times New Roman" w:hAnsi="Times New Roman" w:cs="Times New Roman"/>
          <w:color w:val="000000"/>
          <w:sz w:val="24"/>
          <w:szCs w:val="24"/>
        </w:rPr>
        <w:t>] [</w:t>
      </w:r>
      <w:hyperlink r:id="rId298" w:tgtFrame="_blank" w:history="1">
        <w:r w:rsidRPr="00155B11">
          <w:rPr>
            <w:rFonts w:ascii="Times New Roman" w:eastAsia="Times New Roman" w:hAnsi="Times New Roman" w:cs="Times New Roman"/>
            <w:color w:val="2F4A8B"/>
            <w:sz w:val="24"/>
            <w:szCs w:val="24"/>
            <w:u w:val="single"/>
          </w:rPr>
          <w:t>Google Scholar</w:t>
        </w:r>
      </w:hyperlink>
      <w:r w:rsidRPr="00155B11">
        <w:rPr>
          <w:rFonts w:ascii="Times New Roman" w:eastAsia="Times New Roman" w:hAnsi="Times New Roman" w:cs="Times New Roman"/>
          <w:color w:val="000000"/>
          <w:sz w:val="24"/>
          <w:szCs w:val="24"/>
        </w:rPr>
        <w:t>]</w:t>
      </w:r>
    </w:p>
    <w:p w:rsidR="00155B11" w:rsidRPr="00155B11" w:rsidRDefault="00155B11" w:rsidP="00155B11">
      <w:pPr>
        <w:shd w:val="clear" w:color="auto" w:fill="FFFFFF"/>
        <w:spacing w:line="240" w:lineRule="auto"/>
        <w:rPr>
          <w:rFonts w:ascii="Times New Roman" w:eastAsia="Times New Roman" w:hAnsi="Times New Roman" w:cs="Times New Roman"/>
          <w:color w:val="000000"/>
          <w:sz w:val="24"/>
          <w:szCs w:val="24"/>
        </w:rPr>
      </w:pPr>
      <w:r w:rsidRPr="00155B11">
        <w:rPr>
          <w:rFonts w:ascii="Times New Roman" w:eastAsia="Times New Roman" w:hAnsi="Times New Roman" w:cs="Times New Roman"/>
          <w:color w:val="000000"/>
          <w:sz w:val="24"/>
          <w:szCs w:val="24"/>
        </w:rPr>
        <w:t>91. Coman T, Dalloz MA, Coolen N, et al. Plasmapheresis for the treatment of acute pancreatitis induced by hemophagocytic syndrome related to hypertriglyceridemia. </w:t>
      </w:r>
      <w:r w:rsidRPr="00155B11">
        <w:rPr>
          <w:rFonts w:ascii="Times New Roman" w:eastAsia="Times New Roman" w:hAnsi="Times New Roman" w:cs="Times New Roman"/>
          <w:i/>
          <w:iCs/>
          <w:color w:val="000000"/>
          <w:sz w:val="24"/>
          <w:szCs w:val="24"/>
        </w:rPr>
        <w:t>J Clin Apher. </w:t>
      </w:r>
      <w:r w:rsidRPr="00155B11">
        <w:rPr>
          <w:rFonts w:ascii="Times New Roman" w:eastAsia="Times New Roman" w:hAnsi="Times New Roman" w:cs="Times New Roman"/>
          <w:color w:val="000000"/>
          <w:sz w:val="24"/>
          <w:szCs w:val="24"/>
        </w:rPr>
        <w:t>2003;18(3):129–131. [</w:t>
      </w:r>
      <w:hyperlink r:id="rId299" w:history="1">
        <w:r w:rsidRPr="00155B11">
          <w:rPr>
            <w:rFonts w:ascii="Times New Roman" w:eastAsia="Times New Roman" w:hAnsi="Times New Roman" w:cs="Times New Roman"/>
            <w:color w:val="2F4A8B"/>
            <w:sz w:val="24"/>
            <w:szCs w:val="24"/>
            <w:u w:val="single"/>
          </w:rPr>
          <w:t>PubMed</w:t>
        </w:r>
      </w:hyperlink>
      <w:r w:rsidRPr="00155B11">
        <w:rPr>
          <w:rFonts w:ascii="Times New Roman" w:eastAsia="Times New Roman" w:hAnsi="Times New Roman" w:cs="Times New Roman"/>
          <w:color w:val="000000"/>
          <w:sz w:val="24"/>
          <w:szCs w:val="24"/>
        </w:rPr>
        <w:t>] [</w:t>
      </w:r>
      <w:hyperlink r:id="rId300" w:tgtFrame="_blank" w:history="1">
        <w:r w:rsidRPr="00155B11">
          <w:rPr>
            <w:rFonts w:ascii="Times New Roman" w:eastAsia="Times New Roman" w:hAnsi="Times New Roman" w:cs="Times New Roman"/>
            <w:color w:val="2F4A8B"/>
            <w:sz w:val="24"/>
            <w:szCs w:val="24"/>
            <w:u w:val="single"/>
          </w:rPr>
          <w:t>Google Scholar</w:t>
        </w:r>
      </w:hyperlink>
      <w:r w:rsidRPr="00155B11">
        <w:rPr>
          <w:rFonts w:ascii="Times New Roman" w:eastAsia="Times New Roman" w:hAnsi="Times New Roman" w:cs="Times New Roman"/>
          <w:color w:val="000000"/>
          <w:sz w:val="24"/>
          <w:szCs w:val="24"/>
        </w:rPr>
        <w:t>]</w:t>
      </w:r>
    </w:p>
    <w:p w:rsidR="00155B11" w:rsidRPr="00155B11" w:rsidRDefault="00155B11" w:rsidP="00155B11">
      <w:pPr>
        <w:shd w:val="clear" w:color="auto" w:fill="FFFFFF"/>
        <w:spacing w:line="240" w:lineRule="auto"/>
        <w:rPr>
          <w:rFonts w:ascii="Times New Roman" w:eastAsia="Times New Roman" w:hAnsi="Times New Roman" w:cs="Times New Roman"/>
          <w:color w:val="000000"/>
          <w:sz w:val="24"/>
          <w:szCs w:val="24"/>
        </w:rPr>
      </w:pPr>
      <w:r w:rsidRPr="00155B11">
        <w:rPr>
          <w:rFonts w:ascii="Times New Roman" w:eastAsia="Times New Roman" w:hAnsi="Times New Roman" w:cs="Times New Roman"/>
          <w:color w:val="000000"/>
          <w:sz w:val="24"/>
          <w:szCs w:val="24"/>
        </w:rPr>
        <w:t>92. Imashuku S, Hibi S, Ohara T, et al. Effective control of Epstein-Barr virus-related hemophagocytic lymphohistiocytosis with immunochemotherapy. Histiocyte Society. </w:t>
      </w:r>
      <w:r w:rsidRPr="00155B11">
        <w:rPr>
          <w:rFonts w:ascii="Times New Roman" w:eastAsia="Times New Roman" w:hAnsi="Times New Roman" w:cs="Times New Roman"/>
          <w:i/>
          <w:iCs/>
          <w:color w:val="000000"/>
          <w:sz w:val="24"/>
          <w:szCs w:val="24"/>
        </w:rPr>
        <w:t>Blood. </w:t>
      </w:r>
      <w:r w:rsidRPr="00155B11">
        <w:rPr>
          <w:rFonts w:ascii="Times New Roman" w:eastAsia="Times New Roman" w:hAnsi="Times New Roman" w:cs="Times New Roman"/>
          <w:color w:val="000000"/>
          <w:sz w:val="24"/>
          <w:szCs w:val="24"/>
        </w:rPr>
        <w:t>1999;93(6):1869–1874. [</w:t>
      </w:r>
      <w:hyperlink r:id="rId301" w:history="1">
        <w:r w:rsidRPr="00155B11">
          <w:rPr>
            <w:rFonts w:ascii="Times New Roman" w:eastAsia="Times New Roman" w:hAnsi="Times New Roman" w:cs="Times New Roman"/>
            <w:color w:val="2F4A8B"/>
            <w:sz w:val="24"/>
            <w:szCs w:val="24"/>
            <w:u w:val="single"/>
          </w:rPr>
          <w:t>PubMed</w:t>
        </w:r>
      </w:hyperlink>
      <w:r w:rsidRPr="00155B11">
        <w:rPr>
          <w:rFonts w:ascii="Times New Roman" w:eastAsia="Times New Roman" w:hAnsi="Times New Roman" w:cs="Times New Roman"/>
          <w:color w:val="000000"/>
          <w:sz w:val="24"/>
          <w:szCs w:val="24"/>
        </w:rPr>
        <w:t>] [</w:t>
      </w:r>
      <w:hyperlink r:id="rId302" w:tgtFrame="_blank" w:history="1">
        <w:r w:rsidRPr="00155B11">
          <w:rPr>
            <w:rFonts w:ascii="Times New Roman" w:eastAsia="Times New Roman" w:hAnsi="Times New Roman" w:cs="Times New Roman"/>
            <w:color w:val="2F4A8B"/>
            <w:sz w:val="24"/>
            <w:szCs w:val="24"/>
            <w:u w:val="single"/>
          </w:rPr>
          <w:t>Google Scholar</w:t>
        </w:r>
      </w:hyperlink>
      <w:r w:rsidRPr="00155B11">
        <w:rPr>
          <w:rFonts w:ascii="Times New Roman" w:eastAsia="Times New Roman" w:hAnsi="Times New Roman" w:cs="Times New Roman"/>
          <w:color w:val="000000"/>
          <w:sz w:val="24"/>
          <w:szCs w:val="24"/>
        </w:rPr>
        <w:t>]</w:t>
      </w:r>
    </w:p>
    <w:p w:rsidR="00155B11" w:rsidRPr="00155B11" w:rsidRDefault="00155B11" w:rsidP="00155B11">
      <w:pPr>
        <w:shd w:val="clear" w:color="auto" w:fill="FFFFFF"/>
        <w:spacing w:line="240" w:lineRule="auto"/>
        <w:rPr>
          <w:rFonts w:ascii="Times New Roman" w:eastAsia="Times New Roman" w:hAnsi="Times New Roman" w:cs="Times New Roman"/>
          <w:color w:val="000000"/>
          <w:sz w:val="24"/>
          <w:szCs w:val="24"/>
        </w:rPr>
      </w:pPr>
      <w:r w:rsidRPr="00155B11">
        <w:rPr>
          <w:rFonts w:ascii="Times New Roman" w:eastAsia="Times New Roman" w:hAnsi="Times New Roman" w:cs="Times New Roman"/>
          <w:color w:val="000000"/>
          <w:sz w:val="24"/>
          <w:szCs w:val="24"/>
        </w:rPr>
        <w:t>93. Ladisch S, Ho W, Matheson D, Pilkington R, Hartman G. Immunologic and clinical effects of repeated blood exchange in familial erythrophagocytic lymphohistiocytosis. </w:t>
      </w:r>
      <w:r w:rsidRPr="00155B11">
        <w:rPr>
          <w:rFonts w:ascii="Times New Roman" w:eastAsia="Times New Roman" w:hAnsi="Times New Roman" w:cs="Times New Roman"/>
          <w:i/>
          <w:iCs/>
          <w:color w:val="000000"/>
          <w:sz w:val="24"/>
          <w:szCs w:val="24"/>
        </w:rPr>
        <w:t>Blood. </w:t>
      </w:r>
      <w:r w:rsidRPr="00155B11">
        <w:rPr>
          <w:rFonts w:ascii="Times New Roman" w:eastAsia="Times New Roman" w:hAnsi="Times New Roman" w:cs="Times New Roman"/>
          <w:color w:val="000000"/>
          <w:sz w:val="24"/>
          <w:szCs w:val="24"/>
        </w:rPr>
        <w:t>1982;60(4):814–821. [</w:t>
      </w:r>
      <w:hyperlink r:id="rId303" w:history="1">
        <w:r w:rsidRPr="00155B11">
          <w:rPr>
            <w:rFonts w:ascii="Times New Roman" w:eastAsia="Times New Roman" w:hAnsi="Times New Roman" w:cs="Times New Roman"/>
            <w:color w:val="2F4A8B"/>
            <w:sz w:val="24"/>
            <w:szCs w:val="24"/>
            <w:u w:val="single"/>
          </w:rPr>
          <w:t>PubMed</w:t>
        </w:r>
      </w:hyperlink>
      <w:r w:rsidRPr="00155B11">
        <w:rPr>
          <w:rFonts w:ascii="Times New Roman" w:eastAsia="Times New Roman" w:hAnsi="Times New Roman" w:cs="Times New Roman"/>
          <w:color w:val="000000"/>
          <w:sz w:val="24"/>
          <w:szCs w:val="24"/>
        </w:rPr>
        <w:t>] [</w:t>
      </w:r>
      <w:hyperlink r:id="rId304" w:tgtFrame="_blank" w:history="1">
        <w:r w:rsidRPr="00155B11">
          <w:rPr>
            <w:rFonts w:ascii="Times New Roman" w:eastAsia="Times New Roman" w:hAnsi="Times New Roman" w:cs="Times New Roman"/>
            <w:color w:val="2F4A8B"/>
            <w:sz w:val="24"/>
            <w:szCs w:val="24"/>
            <w:u w:val="single"/>
          </w:rPr>
          <w:t>Google Scholar</w:t>
        </w:r>
      </w:hyperlink>
      <w:r w:rsidRPr="00155B11">
        <w:rPr>
          <w:rFonts w:ascii="Times New Roman" w:eastAsia="Times New Roman" w:hAnsi="Times New Roman" w:cs="Times New Roman"/>
          <w:color w:val="000000"/>
          <w:sz w:val="24"/>
          <w:szCs w:val="24"/>
        </w:rPr>
        <w:t>]</w:t>
      </w:r>
    </w:p>
    <w:p w:rsidR="00155B11" w:rsidRPr="00155B11" w:rsidRDefault="00155B11" w:rsidP="00155B11">
      <w:pPr>
        <w:shd w:val="clear" w:color="auto" w:fill="FFFFFF"/>
        <w:spacing w:line="240" w:lineRule="auto"/>
        <w:rPr>
          <w:rFonts w:ascii="Times New Roman" w:eastAsia="Times New Roman" w:hAnsi="Times New Roman" w:cs="Times New Roman"/>
          <w:color w:val="000000"/>
          <w:sz w:val="24"/>
          <w:szCs w:val="24"/>
        </w:rPr>
      </w:pPr>
      <w:r w:rsidRPr="00155B11">
        <w:rPr>
          <w:rFonts w:ascii="Times New Roman" w:eastAsia="Times New Roman" w:hAnsi="Times New Roman" w:cs="Times New Roman"/>
          <w:color w:val="000000"/>
          <w:sz w:val="24"/>
          <w:szCs w:val="24"/>
        </w:rPr>
        <w:t>94. Nakakura H, Ashida A, Matsumura H, et al. A case report of successful treatment with plasma exchange for hemophagocytic syndrome associated with severe systemic juvenile idiopathic arthritis in an infant girl. </w:t>
      </w:r>
      <w:r w:rsidRPr="00155B11">
        <w:rPr>
          <w:rFonts w:ascii="Times New Roman" w:eastAsia="Times New Roman" w:hAnsi="Times New Roman" w:cs="Times New Roman"/>
          <w:i/>
          <w:iCs/>
          <w:color w:val="000000"/>
          <w:sz w:val="24"/>
          <w:szCs w:val="24"/>
        </w:rPr>
        <w:t>Ther Apher Dial. </w:t>
      </w:r>
      <w:r w:rsidRPr="00155B11">
        <w:rPr>
          <w:rFonts w:ascii="Times New Roman" w:eastAsia="Times New Roman" w:hAnsi="Times New Roman" w:cs="Times New Roman"/>
          <w:color w:val="000000"/>
          <w:sz w:val="24"/>
          <w:szCs w:val="24"/>
        </w:rPr>
        <w:t>2009;13(1):71–76. [</w:t>
      </w:r>
      <w:hyperlink r:id="rId305" w:history="1">
        <w:r w:rsidRPr="00155B11">
          <w:rPr>
            <w:rFonts w:ascii="Times New Roman" w:eastAsia="Times New Roman" w:hAnsi="Times New Roman" w:cs="Times New Roman"/>
            <w:color w:val="2F4A8B"/>
            <w:sz w:val="24"/>
            <w:szCs w:val="24"/>
            <w:u w:val="single"/>
          </w:rPr>
          <w:t>PubMed</w:t>
        </w:r>
      </w:hyperlink>
      <w:r w:rsidRPr="00155B11">
        <w:rPr>
          <w:rFonts w:ascii="Times New Roman" w:eastAsia="Times New Roman" w:hAnsi="Times New Roman" w:cs="Times New Roman"/>
          <w:color w:val="000000"/>
          <w:sz w:val="24"/>
          <w:szCs w:val="24"/>
        </w:rPr>
        <w:t>] [</w:t>
      </w:r>
      <w:hyperlink r:id="rId306" w:tgtFrame="_blank" w:history="1">
        <w:r w:rsidRPr="00155B11">
          <w:rPr>
            <w:rFonts w:ascii="Times New Roman" w:eastAsia="Times New Roman" w:hAnsi="Times New Roman" w:cs="Times New Roman"/>
            <w:color w:val="2F4A8B"/>
            <w:sz w:val="24"/>
            <w:szCs w:val="24"/>
            <w:u w:val="single"/>
          </w:rPr>
          <w:t>Google Scholar</w:t>
        </w:r>
      </w:hyperlink>
      <w:r w:rsidRPr="00155B11">
        <w:rPr>
          <w:rFonts w:ascii="Times New Roman" w:eastAsia="Times New Roman" w:hAnsi="Times New Roman" w:cs="Times New Roman"/>
          <w:color w:val="000000"/>
          <w:sz w:val="24"/>
          <w:szCs w:val="24"/>
        </w:rPr>
        <w:t>]</w:t>
      </w:r>
    </w:p>
    <w:p w:rsidR="00155B11" w:rsidRPr="00155B11" w:rsidRDefault="00155B11" w:rsidP="00155B11">
      <w:pPr>
        <w:shd w:val="clear" w:color="auto" w:fill="FFFFFF"/>
        <w:spacing w:line="240" w:lineRule="auto"/>
        <w:rPr>
          <w:rFonts w:ascii="Times New Roman" w:eastAsia="Times New Roman" w:hAnsi="Times New Roman" w:cs="Times New Roman"/>
          <w:color w:val="000000"/>
          <w:sz w:val="24"/>
          <w:szCs w:val="24"/>
        </w:rPr>
      </w:pPr>
      <w:r w:rsidRPr="00155B11">
        <w:rPr>
          <w:rFonts w:ascii="Times New Roman" w:eastAsia="Times New Roman" w:hAnsi="Times New Roman" w:cs="Times New Roman"/>
          <w:color w:val="000000"/>
          <w:sz w:val="24"/>
          <w:szCs w:val="24"/>
        </w:rPr>
        <w:lastRenderedPageBreak/>
        <w:t>95. Raschke RA, Garcia-Orr R. Hemophagocytic lymphohistiocytosis: a potentially underrecognized association with systemic inflammatory response syndrome, severe sepsis, and septic shock in adults. </w:t>
      </w:r>
      <w:r w:rsidRPr="00155B11">
        <w:rPr>
          <w:rFonts w:ascii="Times New Roman" w:eastAsia="Times New Roman" w:hAnsi="Times New Roman" w:cs="Times New Roman"/>
          <w:i/>
          <w:iCs/>
          <w:color w:val="000000"/>
          <w:sz w:val="24"/>
          <w:szCs w:val="24"/>
        </w:rPr>
        <w:t>Chest. </w:t>
      </w:r>
      <w:r w:rsidRPr="00155B11">
        <w:rPr>
          <w:rFonts w:ascii="Times New Roman" w:eastAsia="Times New Roman" w:hAnsi="Times New Roman" w:cs="Times New Roman"/>
          <w:color w:val="000000"/>
          <w:sz w:val="24"/>
          <w:szCs w:val="24"/>
        </w:rPr>
        <w:t>2011;140(4):933–938. [</w:t>
      </w:r>
      <w:hyperlink r:id="rId307" w:history="1">
        <w:r w:rsidRPr="00155B11">
          <w:rPr>
            <w:rFonts w:ascii="Times New Roman" w:eastAsia="Times New Roman" w:hAnsi="Times New Roman" w:cs="Times New Roman"/>
            <w:color w:val="2F4A8B"/>
            <w:sz w:val="24"/>
            <w:szCs w:val="24"/>
            <w:u w:val="single"/>
          </w:rPr>
          <w:t>PubMed</w:t>
        </w:r>
      </w:hyperlink>
      <w:r w:rsidRPr="00155B11">
        <w:rPr>
          <w:rFonts w:ascii="Times New Roman" w:eastAsia="Times New Roman" w:hAnsi="Times New Roman" w:cs="Times New Roman"/>
          <w:color w:val="000000"/>
          <w:sz w:val="24"/>
          <w:szCs w:val="24"/>
        </w:rPr>
        <w:t>] [</w:t>
      </w:r>
      <w:hyperlink r:id="rId308" w:tgtFrame="_blank" w:history="1">
        <w:r w:rsidRPr="00155B11">
          <w:rPr>
            <w:rFonts w:ascii="Times New Roman" w:eastAsia="Times New Roman" w:hAnsi="Times New Roman" w:cs="Times New Roman"/>
            <w:color w:val="2F4A8B"/>
            <w:sz w:val="24"/>
            <w:szCs w:val="24"/>
            <w:u w:val="single"/>
          </w:rPr>
          <w:t>Google Scholar</w:t>
        </w:r>
      </w:hyperlink>
      <w:r w:rsidRPr="00155B11">
        <w:rPr>
          <w:rFonts w:ascii="Times New Roman" w:eastAsia="Times New Roman" w:hAnsi="Times New Roman" w:cs="Times New Roman"/>
          <w:color w:val="000000"/>
          <w:sz w:val="24"/>
          <w:szCs w:val="24"/>
        </w:rPr>
        <w:t>]</w:t>
      </w:r>
    </w:p>
    <w:p w:rsidR="00155B11" w:rsidRPr="00155B11" w:rsidRDefault="00155B11" w:rsidP="00155B11">
      <w:pPr>
        <w:shd w:val="clear" w:color="auto" w:fill="FFFFFF"/>
        <w:spacing w:line="240" w:lineRule="auto"/>
        <w:rPr>
          <w:rFonts w:ascii="Times New Roman" w:eastAsia="Times New Roman" w:hAnsi="Times New Roman" w:cs="Times New Roman"/>
          <w:color w:val="000000"/>
          <w:sz w:val="24"/>
          <w:szCs w:val="24"/>
        </w:rPr>
      </w:pPr>
      <w:r w:rsidRPr="00155B11">
        <w:rPr>
          <w:rFonts w:ascii="Times New Roman" w:eastAsia="Times New Roman" w:hAnsi="Times New Roman" w:cs="Times New Roman"/>
          <w:color w:val="000000"/>
          <w:sz w:val="24"/>
          <w:szCs w:val="24"/>
        </w:rPr>
        <w:t>96. Sanada S, Ookawara S, Shindo T, Morino K, Ishikawa H, Suzuki M. A case report of the effect of plasma exchange on reactive hemophagocytic syndrome associated with toxic shock syndrome. </w:t>
      </w:r>
      <w:r w:rsidRPr="00155B11">
        <w:rPr>
          <w:rFonts w:ascii="Times New Roman" w:eastAsia="Times New Roman" w:hAnsi="Times New Roman" w:cs="Times New Roman"/>
          <w:i/>
          <w:iCs/>
          <w:color w:val="000000"/>
          <w:sz w:val="24"/>
          <w:szCs w:val="24"/>
        </w:rPr>
        <w:t>Ther Apher Dial. </w:t>
      </w:r>
      <w:r w:rsidRPr="00155B11">
        <w:rPr>
          <w:rFonts w:ascii="Times New Roman" w:eastAsia="Times New Roman" w:hAnsi="Times New Roman" w:cs="Times New Roman"/>
          <w:color w:val="000000"/>
          <w:sz w:val="24"/>
          <w:szCs w:val="24"/>
        </w:rPr>
        <w:t>2004;8(6):503–506. [</w:t>
      </w:r>
      <w:hyperlink r:id="rId309" w:history="1">
        <w:r w:rsidRPr="00155B11">
          <w:rPr>
            <w:rFonts w:ascii="Times New Roman" w:eastAsia="Times New Roman" w:hAnsi="Times New Roman" w:cs="Times New Roman"/>
            <w:color w:val="2F4A8B"/>
            <w:sz w:val="24"/>
            <w:szCs w:val="24"/>
            <w:u w:val="single"/>
          </w:rPr>
          <w:t>PubMed</w:t>
        </w:r>
      </w:hyperlink>
      <w:r w:rsidRPr="00155B11">
        <w:rPr>
          <w:rFonts w:ascii="Times New Roman" w:eastAsia="Times New Roman" w:hAnsi="Times New Roman" w:cs="Times New Roman"/>
          <w:color w:val="000000"/>
          <w:sz w:val="24"/>
          <w:szCs w:val="24"/>
        </w:rPr>
        <w:t>] [</w:t>
      </w:r>
      <w:hyperlink r:id="rId310" w:tgtFrame="_blank" w:history="1">
        <w:r w:rsidRPr="00155B11">
          <w:rPr>
            <w:rFonts w:ascii="Times New Roman" w:eastAsia="Times New Roman" w:hAnsi="Times New Roman" w:cs="Times New Roman"/>
            <w:color w:val="2F4A8B"/>
            <w:sz w:val="24"/>
            <w:szCs w:val="24"/>
            <w:u w:val="single"/>
          </w:rPr>
          <w:t>Google Scholar</w:t>
        </w:r>
      </w:hyperlink>
      <w:r w:rsidRPr="00155B11">
        <w:rPr>
          <w:rFonts w:ascii="Times New Roman" w:eastAsia="Times New Roman" w:hAnsi="Times New Roman" w:cs="Times New Roman"/>
          <w:color w:val="000000"/>
          <w:sz w:val="24"/>
          <w:szCs w:val="24"/>
        </w:rPr>
        <w:t>]</w:t>
      </w:r>
    </w:p>
    <w:p w:rsidR="00155B11" w:rsidRPr="00155B11" w:rsidRDefault="00155B11" w:rsidP="00155B11">
      <w:pPr>
        <w:shd w:val="clear" w:color="auto" w:fill="FFFFFF"/>
        <w:spacing w:line="240" w:lineRule="auto"/>
        <w:rPr>
          <w:rFonts w:ascii="Times New Roman" w:eastAsia="Times New Roman" w:hAnsi="Times New Roman" w:cs="Times New Roman"/>
          <w:color w:val="000000"/>
          <w:sz w:val="24"/>
          <w:szCs w:val="24"/>
        </w:rPr>
      </w:pPr>
      <w:r w:rsidRPr="00155B11">
        <w:rPr>
          <w:rFonts w:ascii="Times New Roman" w:eastAsia="Times New Roman" w:hAnsi="Times New Roman" w:cs="Times New Roman"/>
          <w:color w:val="000000"/>
          <w:sz w:val="24"/>
          <w:szCs w:val="24"/>
        </w:rPr>
        <w:t>97. Satomi A, Nagai S, Nagai T, et al. Effect of plasma exchange on refractory hemophagocytic syndrome complicated with myelodysplastic syndrome. </w:t>
      </w:r>
      <w:r w:rsidRPr="00155B11">
        <w:rPr>
          <w:rFonts w:ascii="Times New Roman" w:eastAsia="Times New Roman" w:hAnsi="Times New Roman" w:cs="Times New Roman"/>
          <w:i/>
          <w:iCs/>
          <w:color w:val="000000"/>
          <w:sz w:val="24"/>
          <w:szCs w:val="24"/>
        </w:rPr>
        <w:t>Ther Apher. </w:t>
      </w:r>
      <w:r w:rsidRPr="00155B11">
        <w:rPr>
          <w:rFonts w:ascii="Times New Roman" w:eastAsia="Times New Roman" w:hAnsi="Times New Roman" w:cs="Times New Roman"/>
          <w:color w:val="000000"/>
          <w:sz w:val="24"/>
          <w:szCs w:val="24"/>
        </w:rPr>
        <w:t>1999;3(4):317–319. [</w:t>
      </w:r>
      <w:hyperlink r:id="rId311" w:history="1">
        <w:r w:rsidRPr="00155B11">
          <w:rPr>
            <w:rFonts w:ascii="Times New Roman" w:eastAsia="Times New Roman" w:hAnsi="Times New Roman" w:cs="Times New Roman"/>
            <w:color w:val="2F4A8B"/>
            <w:sz w:val="24"/>
            <w:szCs w:val="24"/>
            <w:u w:val="single"/>
          </w:rPr>
          <w:t>PubMed</w:t>
        </w:r>
      </w:hyperlink>
      <w:r w:rsidRPr="00155B11">
        <w:rPr>
          <w:rFonts w:ascii="Times New Roman" w:eastAsia="Times New Roman" w:hAnsi="Times New Roman" w:cs="Times New Roman"/>
          <w:color w:val="000000"/>
          <w:sz w:val="24"/>
          <w:szCs w:val="24"/>
        </w:rPr>
        <w:t>] [</w:t>
      </w:r>
      <w:hyperlink r:id="rId312" w:tgtFrame="_blank" w:history="1">
        <w:r w:rsidRPr="00155B11">
          <w:rPr>
            <w:rFonts w:ascii="Times New Roman" w:eastAsia="Times New Roman" w:hAnsi="Times New Roman" w:cs="Times New Roman"/>
            <w:color w:val="2F4A8B"/>
            <w:sz w:val="24"/>
            <w:szCs w:val="24"/>
            <w:u w:val="single"/>
          </w:rPr>
          <w:t>Google Scholar</w:t>
        </w:r>
      </w:hyperlink>
      <w:r w:rsidRPr="00155B11">
        <w:rPr>
          <w:rFonts w:ascii="Times New Roman" w:eastAsia="Times New Roman" w:hAnsi="Times New Roman" w:cs="Times New Roman"/>
          <w:color w:val="000000"/>
          <w:sz w:val="24"/>
          <w:szCs w:val="24"/>
        </w:rPr>
        <w:t>]</w:t>
      </w:r>
    </w:p>
    <w:p w:rsidR="00155B11" w:rsidRPr="00155B11" w:rsidRDefault="00155B11" w:rsidP="00155B11">
      <w:pPr>
        <w:shd w:val="clear" w:color="auto" w:fill="FFFFFF"/>
        <w:spacing w:line="240" w:lineRule="auto"/>
        <w:rPr>
          <w:rFonts w:ascii="Times New Roman" w:eastAsia="Times New Roman" w:hAnsi="Times New Roman" w:cs="Times New Roman"/>
          <w:color w:val="000000"/>
          <w:sz w:val="24"/>
          <w:szCs w:val="24"/>
        </w:rPr>
      </w:pPr>
      <w:r w:rsidRPr="00155B11">
        <w:rPr>
          <w:rFonts w:ascii="Times New Roman" w:eastAsia="Times New Roman" w:hAnsi="Times New Roman" w:cs="Times New Roman"/>
          <w:color w:val="000000"/>
          <w:sz w:val="24"/>
          <w:szCs w:val="24"/>
        </w:rPr>
        <w:t>98. Song KS, Sung HJ. Effect of plasma exchange on the circulating IL-6 levels in a patient with fatal hemophagocytic syndrome associated with bile ductopenia. </w:t>
      </w:r>
      <w:r w:rsidRPr="00155B11">
        <w:rPr>
          <w:rFonts w:ascii="Times New Roman" w:eastAsia="Times New Roman" w:hAnsi="Times New Roman" w:cs="Times New Roman"/>
          <w:i/>
          <w:iCs/>
          <w:color w:val="000000"/>
          <w:sz w:val="24"/>
          <w:szCs w:val="24"/>
        </w:rPr>
        <w:t>Ther Apher Dial. </w:t>
      </w:r>
      <w:r w:rsidRPr="00155B11">
        <w:rPr>
          <w:rFonts w:ascii="Times New Roman" w:eastAsia="Times New Roman" w:hAnsi="Times New Roman" w:cs="Times New Roman"/>
          <w:color w:val="000000"/>
          <w:sz w:val="24"/>
          <w:szCs w:val="24"/>
        </w:rPr>
        <w:t>2006;10(1):87–89. [</w:t>
      </w:r>
      <w:hyperlink r:id="rId313" w:history="1">
        <w:r w:rsidRPr="00155B11">
          <w:rPr>
            <w:rFonts w:ascii="Times New Roman" w:eastAsia="Times New Roman" w:hAnsi="Times New Roman" w:cs="Times New Roman"/>
            <w:color w:val="2F4A8B"/>
            <w:sz w:val="24"/>
            <w:szCs w:val="24"/>
            <w:u w:val="single"/>
          </w:rPr>
          <w:t>PubMed</w:t>
        </w:r>
      </w:hyperlink>
      <w:r w:rsidRPr="00155B11">
        <w:rPr>
          <w:rFonts w:ascii="Times New Roman" w:eastAsia="Times New Roman" w:hAnsi="Times New Roman" w:cs="Times New Roman"/>
          <w:color w:val="000000"/>
          <w:sz w:val="24"/>
          <w:szCs w:val="24"/>
        </w:rPr>
        <w:t>] [</w:t>
      </w:r>
      <w:hyperlink r:id="rId314" w:tgtFrame="_blank" w:history="1">
        <w:r w:rsidRPr="00155B11">
          <w:rPr>
            <w:rFonts w:ascii="Times New Roman" w:eastAsia="Times New Roman" w:hAnsi="Times New Roman" w:cs="Times New Roman"/>
            <w:color w:val="2F4A8B"/>
            <w:sz w:val="24"/>
            <w:szCs w:val="24"/>
            <w:u w:val="single"/>
          </w:rPr>
          <w:t>Google Scholar</w:t>
        </w:r>
      </w:hyperlink>
      <w:r w:rsidRPr="00155B11">
        <w:rPr>
          <w:rFonts w:ascii="Times New Roman" w:eastAsia="Times New Roman" w:hAnsi="Times New Roman" w:cs="Times New Roman"/>
          <w:color w:val="000000"/>
          <w:sz w:val="24"/>
          <w:szCs w:val="24"/>
        </w:rPr>
        <w:t>]</w:t>
      </w:r>
    </w:p>
    <w:p w:rsidR="00155B11" w:rsidRPr="00155B11" w:rsidRDefault="00155B11" w:rsidP="00155B11">
      <w:pPr>
        <w:shd w:val="clear" w:color="auto" w:fill="FFFFFF"/>
        <w:spacing w:line="240" w:lineRule="auto"/>
        <w:rPr>
          <w:rFonts w:ascii="Times New Roman" w:eastAsia="Times New Roman" w:hAnsi="Times New Roman" w:cs="Times New Roman"/>
          <w:color w:val="000000"/>
          <w:sz w:val="24"/>
          <w:szCs w:val="24"/>
        </w:rPr>
      </w:pPr>
      <w:r w:rsidRPr="00155B11">
        <w:rPr>
          <w:rFonts w:ascii="Times New Roman" w:eastAsia="Times New Roman" w:hAnsi="Times New Roman" w:cs="Times New Roman"/>
          <w:color w:val="000000"/>
          <w:sz w:val="24"/>
          <w:szCs w:val="24"/>
        </w:rPr>
        <w:t>99. Zhang XY, Ye XW, Feng DX, Han J, Li D, Zhang C. Hemophagocytic Lymphohistiocytosis Induced by Severe Pandemic Influenza A (H1N1) 2009 Virus Infection: A Case Report. </w:t>
      </w:r>
      <w:r w:rsidRPr="00155B11">
        <w:rPr>
          <w:rFonts w:ascii="Times New Roman" w:eastAsia="Times New Roman" w:hAnsi="Times New Roman" w:cs="Times New Roman"/>
          <w:i/>
          <w:iCs/>
          <w:color w:val="000000"/>
          <w:sz w:val="24"/>
          <w:szCs w:val="24"/>
        </w:rPr>
        <w:t>Case Report Med. </w:t>
      </w:r>
      <w:r w:rsidRPr="00155B11">
        <w:rPr>
          <w:rFonts w:ascii="Times New Roman" w:eastAsia="Times New Roman" w:hAnsi="Times New Roman" w:cs="Times New Roman"/>
          <w:color w:val="000000"/>
          <w:sz w:val="24"/>
          <w:szCs w:val="24"/>
        </w:rPr>
        <w:t>2011;2011:951910. [</w:t>
      </w:r>
      <w:hyperlink r:id="rId315" w:history="1">
        <w:r w:rsidRPr="00155B11">
          <w:rPr>
            <w:rFonts w:ascii="Times New Roman" w:eastAsia="Times New Roman" w:hAnsi="Times New Roman" w:cs="Times New Roman"/>
            <w:color w:val="2F4A8B"/>
            <w:sz w:val="24"/>
            <w:szCs w:val="24"/>
            <w:u w:val="single"/>
          </w:rPr>
          <w:t>PMC free article</w:t>
        </w:r>
      </w:hyperlink>
      <w:r w:rsidRPr="00155B11">
        <w:rPr>
          <w:rFonts w:ascii="Times New Roman" w:eastAsia="Times New Roman" w:hAnsi="Times New Roman" w:cs="Times New Roman"/>
          <w:color w:val="000000"/>
          <w:sz w:val="24"/>
          <w:szCs w:val="24"/>
        </w:rPr>
        <w:t>] [</w:t>
      </w:r>
      <w:hyperlink r:id="rId316" w:history="1">
        <w:r w:rsidRPr="00155B11">
          <w:rPr>
            <w:rFonts w:ascii="Times New Roman" w:eastAsia="Times New Roman" w:hAnsi="Times New Roman" w:cs="Times New Roman"/>
            <w:color w:val="2F4A8B"/>
            <w:sz w:val="24"/>
            <w:szCs w:val="24"/>
            <w:u w:val="single"/>
          </w:rPr>
          <w:t>PubMed</w:t>
        </w:r>
      </w:hyperlink>
      <w:r w:rsidRPr="00155B11">
        <w:rPr>
          <w:rFonts w:ascii="Times New Roman" w:eastAsia="Times New Roman" w:hAnsi="Times New Roman" w:cs="Times New Roman"/>
          <w:color w:val="000000"/>
          <w:sz w:val="24"/>
          <w:szCs w:val="24"/>
        </w:rPr>
        <w:t>] [</w:t>
      </w:r>
      <w:hyperlink r:id="rId317" w:tgtFrame="_blank" w:history="1">
        <w:r w:rsidRPr="00155B11">
          <w:rPr>
            <w:rFonts w:ascii="Times New Roman" w:eastAsia="Times New Roman" w:hAnsi="Times New Roman" w:cs="Times New Roman"/>
            <w:color w:val="2F4A8B"/>
            <w:sz w:val="24"/>
            <w:szCs w:val="24"/>
            <w:u w:val="single"/>
          </w:rPr>
          <w:t>Google Scholar</w:t>
        </w:r>
      </w:hyperlink>
      <w:r w:rsidRPr="00155B11">
        <w:rPr>
          <w:rFonts w:ascii="Times New Roman" w:eastAsia="Times New Roman" w:hAnsi="Times New Roman" w:cs="Times New Roman"/>
          <w:color w:val="000000"/>
          <w:sz w:val="24"/>
          <w:szCs w:val="24"/>
        </w:rPr>
        <w:t>]</w:t>
      </w:r>
    </w:p>
    <w:p w:rsidR="00155B11" w:rsidRPr="00155B11" w:rsidRDefault="00155B11" w:rsidP="00155B11">
      <w:pPr>
        <w:shd w:val="clear" w:color="auto" w:fill="FFFFFF"/>
        <w:spacing w:line="240" w:lineRule="auto"/>
        <w:rPr>
          <w:rFonts w:ascii="Times New Roman" w:eastAsia="Times New Roman" w:hAnsi="Times New Roman" w:cs="Times New Roman"/>
          <w:color w:val="000000"/>
          <w:sz w:val="24"/>
          <w:szCs w:val="24"/>
        </w:rPr>
      </w:pPr>
      <w:r w:rsidRPr="00155B11">
        <w:rPr>
          <w:rFonts w:ascii="Times New Roman" w:eastAsia="Times New Roman" w:hAnsi="Times New Roman" w:cs="Times New Roman"/>
          <w:color w:val="000000"/>
          <w:sz w:val="24"/>
          <w:szCs w:val="24"/>
        </w:rPr>
        <w:t>100. Demirkol D, Yildizdas D, Bayrakci B, et al. Hyperferritinemia in the critically ill child with secondary HLH/sepsis/MODS/MAS: what is the treatment? </w:t>
      </w:r>
      <w:r w:rsidRPr="00155B11">
        <w:rPr>
          <w:rFonts w:ascii="Times New Roman" w:eastAsia="Times New Roman" w:hAnsi="Times New Roman" w:cs="Times New Roman"/>
          <w:i/>
          <w:iCs/>
          <w:color w:val="000000"/>
          <w:sz w:val="24"/>
          <w:szCs w:val="24"/>
        </w:rPr>
        <w:t>Critical Care. </w:t>
      </w:r>
      <w:r w:rsidRPr="00155B11">
        <w:rPr>
          <w:rFonts w:ascii="Times New Roman" w:eastAsia="Times New Roman" w:hAnsi="Times New Roman" w:cs="Times New Roman"/>
          <w:color w:val="000000"/>
          <w:sz w:val="24"/>
          <w:szCs w:val="24"/>
        </w:rPr>
        <w:t>2012;16(2):R52. [</w:t>
      </w:r>
      <w:hyperlink r:id="rId318" w:history="1">
        <w:r w:rsidRPr="00155B11">
          <w:rPr>
            <w:rFonts w:ascii="Times New Roman" w:eastAsia="Times New Roman" w:hAnsi="Times New Roman" w:cs="Times New Roman"/>
            <w:color w:val="2F4A8B"/>
            <w:sz w:val="24"/>
            <w:szCs w:val="24"/>
            <w:u w:val="single"/>
          </w:rPr>
          <w:t>PMC free article</w:t>
        </w:r>
      </w:hyperlink>
      <w:r w:rsidRPr="00155B11">
        <w:rPr>
          <w:rFonts w:ascii="Times New Roman" w:eastAsia="Times New Roman" w:hAnsi="Times New Roman" w:cs="Times New Roman"/>
          <w:color w:val="000000"/>
          <w:sz w:val="24"/>
          <w:szCs w:val="24"/>
        </w:rPr>
        <w:t>] [</w:t>
      </w:r>
      <w:hyperlink r:id="rId319" w:history="1">
        <w:r w:rsidRPr="00155B11">
          <w:rPr>
            <w:rFonts w:ascii="Times New Roman" w:eastAsia="Times New Roman" w:hAnsi="Times New Roman" w:cs="Times New Roman"/>
            <w:color w:val="2F4A8B"/>
            <w:sz w:val="24"/>
            <w:szCs w:val="24"/>
            <w:u w:val="single"/>
          </w:rPr>
          <w:t>PubMed</w:t>
        </w:r>
      </w:hyperlink>
      <w:r w:rsidRPr="00155B11">
        <w:rPr>
          <w:rFonts w:ascii="Times New Roman" w:eastAsia="Times New Roman" w:hAnsi="Times New Roman" w:cs="Times New Roman"/>
          <w:color w:val="000000"/>
          <w:sz w:val="24"/>
          <w:szCs w:val="24"/>
        </w:rPr>
        <w:t>] [</w:t>
      </w:r>
      <w:hyperlink r:id="rId320" w:tgtFrame="_blank" w:history="1">
        <w:r w:rsidRPr="00155B11">
          <w:rPr>
            <w:rFonts w:ascii="Times New Roman" w:eastAsia="Times New Roman" w:hAnsi="Times New Roman" w:cs="Times New Roman"/>
            <w:color w:val="2F4A8B"/>
            <w:sz w:val="24"/>
            <w:szCs w:val="24"/>
            <w:u w:val="single"/>
          </w:rPr>
          <w:t>Google Scholar</w:t>
        </w:r>
      </w:hyperlink>
      <w:r w:rsidRPr="00155B11">
        <w:rPr>
          <w:rFonts w:ascii="Times New Roman" w:eastAsia="Times New Roman" w:hAnsi="Times New Roman" w:cs="Times New Roman"/>
          <w:color w:val="000000"/>
          <w:sz w:val="24"/>
          <w:szCs w:val="24"/>
        </w:rPr>
        <w:t>]</w:t>
      </w:r>
    </w:p>
    <w:p w:rsidR="00155B11" w:rsidRDefault="00155B11" w:rsidP="00155B11">
      <w:pPr>
        <w:pStyle w:val="fn"/>
        <w:shd w:val="clear" w:color="auto" w:fill="FFFFFF"/>
        <w:spacing w:before="166" w:beforeAutospacing="0" w:after="166" w:afterAutospacing="0"/>
        <w:rPr>
          <w:rFonts w:ascii="Arial" w:hAnsi="Arial" w:cs="Arial"/>
          <w:color w:val="000000"/>
          <w:sz w:val="20"/>
          <w:szCs w:val="20"/>
        </w:rPr>
      </w:pPr>
      <w:bookmarkStart w:id="0" w:name="_GoBack"/>
      <w:bookmarkEnd w:id="0"/>
    </w:p>
    <w:p w:rsidR="00155B11" w:rsidRDefault="00155B11" w:rsidP="00155B11">
      <w:pPr>
        <w:pStyle w:val="fn"/>
        <w:shd w:val="clear" w:color="auto" w:fill="FFFFFF"/>
        <w:spacing w:before="166" w:beforeAutospacing="0" w:after="166" w:afterAutospacing="0"/>
        <w:rPr>
          <w:rFonts w:ascii="Arial" w:hAnsi="Arial" w:cs="Arial"/>
          <w:color w:val="000000"/>
          <w:sz w:val="20"/>
          <w:szCs w:val="20"/>
        </w:rPr>
      </w:pPr>
    </w:p>
    <w:p w:rsidR="00155B11" w:rsidRDefault="00155B11"/>
    <w:p w:rsidR="00155B11" w:rsidRDefault="00155B11"/>
    <w:p w:rsidR="00155B11" w:rsidRDefault="00155B11"/>
    <w:p w:rsidR="00155B11" w:rsidRDefault="00155B11"/>
    <w:p w:rsidR="00155B11" w:rsidRDefault="00155B11"/>
    <w:p w:rsidR="00155B11" w:rsidRDefault="00155B11"/>
    <w:sectPr w:rsidR="00155B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7E3170"/>
    <w:multiLevelType w:val="multilevel"/>
    <w:tmpl w:val="A6C09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7F02AD9"/>
    <w:multiLevelType w:val="multilevel"/>
    <w:tmpl w:val="09789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B11"/>
    <w:rsid w:val="00155B11"/>
    <w:rsid w:val="009A6D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7818D"/>
  <w15:chartTrackingRefBased/>
  <w15:docId w15:val="{4DFB1B1D-F3AD-4762-98AE-5F3869091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155B1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5B11"/>
    <w:rPr>
      <w:color w:val="0563C1" w:themeColor="hyperlink"/>
      <w:u w:val="single"/>
    </w:rPr>
  </w:style>
  <w:style w:type="paragraph" w:customStyle="1" w:styleId="fn">
    <w:name w:val="fn"/>
    <w:basedOn w:val="Normal"/>
    <w:rsid w:val="00155B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155B11"/>
    <w:rPr>
      <w:rFonts w:ascii="Times New Roman" w:eastAsia="Times New Roman" w:hAnsi="Times New Roman" w:cs="Times New Roman"/>
      <w:b/>
      <w:bCs/>
      <w:sz w:val="36"/>
      <w:szCs w:val="36"/>
    </w:rPr>
  </w:style>
  <w:style w:type="numbering" w:customStyle="1" w:styleId="NoList1">
    <w:name w:val="No List1"/>
    <w:next w:val="NoList"/>
    <w:uiPriority w:val="99"/>
    <w:semiHidden/>
    <w:unhideWhenUsed/>
    <w:rsid w:val="00155B11"/>
  </w:style>
  <w:style w:type="paragraph" w:customStyle="1" w:styleId="msonormal0">
    <w:name w:val="msonormal"/>
    <w:basedOn w:val="Normal"/>
    <w:rsid w:val="00155B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lement-citation">
    <w:name w:val="element-citation"/>
    <w:basedOn w:val="DefaultParagraphFont"/>
    <w:rsid w:val="00155B11"/>
  </w:style>
  <w:style w:type="character" w:customStyle="1" w:styleId="ref-journal">
    <w:name w:val="ref-journal"/>
    <w:basedOn w:val="DefaultParagraphFont"/>
    <w:rsid w:val="00155B11"/>
  </w:style>
  <w:style w:type="character" w:customStyle="1" w:styleId="ref-vol">
    <w:name w:val="ref-vol"/>
    <w:basedOn w:val="DefaultParagraphFont"/>
    <w:rsid w:val="00155B11"/>
  </w:style>
  <w:style w:type="character" w:styleId="FollowedHyperlink">
    <w:name w:val="FollowedHyperlink"/>
    <w:basedOn w:val="DefaultParagraphFont"/>
    <w:uiPriority w:val="99"/>
    <w:semiHidden/>
    <w:unhideWhenUsed/>
    <w:rsid w:val="00155B11"/>
    <w:rPr>
      <w:color w:val="800080"/>
      <w:u w:val="single"/>
    </w:rPr>
  </w:style>
  <w:style w:type="character" w:customStyle="1" w:styleId="nowrap">
    <w:name w:val="nowrap"/>
    <w:basedOn w:val="DefaultParagraphFont"/>
    <w:rsid w:val="00155B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453279">
      <w:bodyDiv w:val="1"/>
      <w:marLeft w:val="0"/>
      <w:marRight w:val="0"/>
      <w:marTop w:val="0"/>
      <w:marBottom w:val="0"/>
      <w:divBdr>
        <w:top w:val="none" w:sz="0" w:space="0" w:color="auto"/>
        <w:left w:val="none" w:sz="0" w:space="0" w:color="auto"/>
        <w:bottom w:val="none" w:sz="0" w:space="0" w:color="auto"/>
        <w:right w:val="none" w:sz="0" w:space="0" w:color="auto"/>
      </w:divBdr>
    </w:div>
    <w:div w:id="258410983">
      <w:bodyDiv w:val="1"/>
      <w:marLeft w:val="0"/>
      <w:marRight w:val="0"/>
      <w:marTop w:val="0"/>
      <w:marBottom w:val="0"/>
      <w:divBdr>
        <w:top w:val="none" w:sz="0" w:space="0" w:color="auto"/>
        <w:left w:val="none" w:sz="0" w:space="0" w:color="auto"/>
        <w:bottom w:val="none" w:sz="0" w:space="0" w:color="auto"/>
        <w:right w:val="none" w:sz="0" w:space="0" w:color="auto"/>
      </w:divBdr>
    </w:div>
    <w:div w:id="320934241">
      <w:bodyDiv w:val="1"/>
      <w:marLeft w:val="0"/>
      <w:marRight w:val="0"/>
      <w:marTop w:val="0"/>
      <w:marBottom w:val="0"/>
      <w:divBdr>
        <w:top w:val="none" w:sz="0" w:space="0" w:color="auto"/>
        <w:left w:val="none" w:sz="0" w:space="0" w:color="auto"/>
        <w:bottom w:val="none" w:sz="0" w:space="0" w:color="auto"/>
        <w:right w:val="none" w:sz="0" w:space="0" w:color="auto"/>
      </w:divBdr>
      <w:divsChild>
        <w:div w:id="1501700626">
          <w:marLeft w:val="0"/>
          <w:marRight w:val="0"/>
          <w:marTop w:val="166"/>
          <w:marBottom w:val="166"/>
          <w:divBdr>
            <w:top w:val="none" w:sz="0" w:space="0" w:color="auto"/>
            <w:left w:val="none" w:sz="0" w:space="0" w:color="auto"/>
            <w:bottom w:val="none" w:sz="0" w:space="0" w:color="auto"/>
            <w:right w:val="none" w:sz="0" w:space="0" w:color="auto"/>
          </w:divBdr>
        </w:div>
        <w:div w:id="237599533">
          <w:marLeft w:val="0"/>
          <w:marRight w:val="0"/>
          <w:marTop w:val="166"/>
          <w:marBottom w:val="166"/>
          <w:divBdr>
            <w:top w:val="none" w:sz="0" w:space="0" w:color="auto"/>
            <w:left w:val="none" w:sz="0" w:space="0" w:color="auto"/>
            <w:bottom w:val="none" w:sz="0" w:space="0" w:color="auto"/>
            <w:right w:val="none" w:sz="0" w:space="0" w:color="auto"/>
          </w:divBdr>
        </w:div>
        <w:div w:id="489907207">
          <w:marLeft w:val="0"/>
          <w:marRight w:val="0"/>
          <w:marTop w:val="166"/>
          <w:marBottom w:val="166"/>
          <w:divBdr>
            <w:top w:val="none" w:sz="0" w:space="0" w:color="auto"/>
            <w:left w:val="none" w:sz="0" w:space="0" w:color="auto"/>
            <w:bottom w:val="none" w:sz="0" w:space="0" w:color="auto"/>
            <w:right w:val="none" w:sz="0" w:space="0" w:color="auto"/>
          </w:divBdr>
        </w:div>
        <w:div w:id="298271348">
          <w:marLeft w:val="0"/>
          <w:marRight w:val="0"/>
          <w:marTop w:val="166"/>
          <w:marBottom w:val="166"/>
          <w:divBdr>
            <w:top w:val="none" w:sz="0" w:space="0" w:color="auto"/>
            <w:left w:val="none" w:sz="0" w:space="0" w:color="auto"/>
            <w:bottom w:val="none" w:sz="0" w:space="0" w:color="auto"/>
            <w:right w:val="none" w:sz="0" w:space="0" w:color="auto"/>
          </w:divBdr>
        </w:div>
        <w:div w:id="177744250">
          <w:marLeft w:val="0"/>
          <w:marRight w:val="0"/>
          <w:marTop w:val="166"/>
          <w:marBottom w:val="166"/>
          <w:divBdr>
            <w:top w:val="none" w:sz="0" w:space="0" w:color="auto"/>
            <w:left w:val="none" w:sz="0" w:space="0" w:color="auto"/>
            <w:bottom w:val="none" w:sz="0" w:space="0" w:color="auto"/>
            <w:right w:val="none" w:sz="0" w:space="0" w:color="auto"/>
          </w:divBdr>
        </w:div>
        <w:div w:id="1404066678">
          <w:marLeft w:val="0"/>
          <w:marRight w:val="0"/>
          <w:marTop w:val="166"/>
          <w:marBottom w:val="166"/>
          <w:divBdr>
            <w:top w:val="none" w:sz="0" w:space="0" w:color="auto"/>
            <w:left w:val="none" w:sz="0" w:space="0" w:color="auto"/>
            <w:bottom w:val="none" w:sz="0" w:space="0" w:color="auto"/>
            <w:right w:val="none" w:sz="0" w:space="0" w:color="auto"/>
          </w:divBdr>
        </w:div>
        <w:div w:id="1455520390">
          <w:marLeft w:val="0"/>
          <w:marRight w:val="0"/>
          <w:marTop w:val="166"/>
          <w:marBottom w:val="166"/>
          <w:divBdr>
            <w:top w:val="none" w:sz="0" w:space="0" w:color="auto"/>
            <w:left w:val="none" w:sz="0" w:space="0" w:color="auto"/>
            <w:bottom w:val="none" w:sz="0" w:space="0" w:color="auto"/>
            <w:right w:val="none" w:sz="0" w:space="0" w:color="auto"/>
          </w:divBdr>
        </w:div>
        <w:div w:id="214708287">
          <w:marLeft w:val="0"/>
          <w:marRight w:val="0"/>
          <w:marTop w:val="166"/>
          <w:marBottom w:val="166"/>
          <w:divBdr>
            <w:top w:val="none" w:sz="0" w:space="0" w:color="auto"/>
            <w:left w:val="none" w:sz="0" w:space="0" w:color="auto"/>
            <w:bottom w:val="none" w:sz="0" w:space="0" w:color="auto"/>
            <w:right w:val="none" w:sz="0" w:space="0" w:color="auto"/>
          </w:divBdr>
        </w:div>
        <w:div w:id="1908878005">
          <w:marLeft w:val="0"/>
          <w:marRight w:val="0"/>
          <w:marTop w:val="166"/>
          <w:marBottom w:val="166"/>
          <w:divBdr>
            <w:top w:val="none" w:sz="0" w:space="0" w:color="auto"/>
            <w:left w:val="none" w:sz="0" w:space="0" w:color="auto"/>
            <w:bottom w:val="none" w:sz="0" w:space="0" w:color="auto"/>
            <w:right w:val="none" w:sz="0" w:space="0" w:color="auto"/>
          </w:divBdr>
        </w:div>
        <w:div w:id="2013873919">
          <w:marLeft w:val="0"/>
          <w:marRight w:val="0"/>
          <w:marTop w:val="166"/>
          <w:marBottom w:val="166"/>
          <w:divBdr>
            <w:top w:val="none" w:sz="0" w:space="0" w:color="auto"/>
            <w:left w:val="none" w:sz="0" w:space="0" w:color="auto"/>
            <w:bottom w:val="none" w:sz="0" w:space="0" w:color="auto"/>
            <w:right w:val="none" w:sz="0" w:space="0" w:color="auto"/>
          </w:divBdr>
        </w:div>
        <w:div w:id="1173498542">
          <w:marLeft w:val="0"/>
          <w:marRight w:val="0"/>
          <w:marTop w:val="166"/>
          <w:marBottom w:val="166"/>
          <w:divBdr>
            <w:top w:val="none" w:sz="0" w:space="0" w:color="auto"/>
            <w:left w:val="none" w:sz="0" w:space="0" w:color="auto"/>
            <w:bottom w:val="none" w:sz="0" w:space="0" w:color="auto"/>
            <w:right w:val="none" w:sz="0" w:space="0" w:color="auto"/>
          </w:divBdr>
        </w:div>
        <w:div w:id="1514493354">
          <w:marLeft w:val="0"/>
          <w:marRight w:val="0"/>
          <w:marTop w:val="166"/>
          <w:marBottom w:val="166"/>
          <w:divBdr>
            <w:top w:val="none" w:sz="0" w:space="0" w:color="auto"/>
            <w:left w:val="none" w:sz="0" w:space="0" w:color="auto"/>
            <w:bottom w:val="none" w:sz="0" w:space="0" w:color="auto"/>
            <w:right w:val="none" w:sz="0" w:space="0" w:color="auto"/>
          </w:divBdr>
        </w:div>
        <w:div w:id="1968311202">
          <w:marLeft w:val="0"/>
          <w:marRight w:val="0"/>
          <w:marTop w:val="166"/>
          <w:marBottom w:val="166"/>
          <w:divBdr>
            <w:top w:val="none" w:sz="0" w:space="0" w:color="auto"/>
            <w:left w:val="none" w:sz="0" w:space="0" w:color="auto"/>
            <w:bottom w:val="none" w:sz="0" w:space="0" w:color="auto"/>
            <w:right w:val="none" w:sz="0" w:space="0" w:color="auto"/>
          </w:divBdr>
        </w:div>
        <w:div w:id="1408184889">
          <w:marLeft w:val="0"/>
          <w:marRight w:val="0"/>
          <w:marTop w:val="166"/>
          <w:marBottom w:val="166"/>
          <w:divBdr>
            <w:top w:val="none" w:sz="0" w:space="0" w:color="auto"/>
            <w:left w:val="none" w:sz="0" w:space="0" w:color="auto"/>
            <w:bottom w:val="none" w:sz="0" w:space="0" w:color="auto"/>
            <w:right w:val="none" w:sz="0" w:space="0" w:color="auto"/>
          </w:divBdr>
        </w:div>
        <w:div w:id="1342515396">
          <w:marLeft w:val="0"/>
          <w:marRight w:val="0"/>
          <w:marTop w:val="166"/>
          <w:marBottom w:val="166"/>
          <w:divBdr>
            <w:top w:val="none" w:sz="0" w:space="0" w:color="auto"/>
            <w:left w:val="none" w:sz="0" w:space="0" w:color="auto"/>
            <w:bottom w:val="none" w:sz="0" w:space="0" w:color="auto"/>
            <w:right w:val="none" w:sz="0" w:space="0" w:color="auto"/>
          </w:divBdr>
        </w:div>
        <w:div w:id="1822501607">
          <w:marLeft w:val="0"/>
          <w:marRight w:val="0"/>
          <w:marTop w:val="166"/>
          <w:marBottom w:val="166"/>
          <w:divBdr>
            <w:top w:val="none" w:sz="0" w:space="0" w:color="auto"/>
            <w:left w:val="none" w:sz="0" w:space="0" w:color="auto"/>
            <w:bottom w:val="none" w:sz="0" w:space="0" w:color="auto"/>
            <w:right w:val="none" w:sz="0" w:space="0" w:color="auto"/>
          </w:divBdr>
        </w:div>
        <w:div w:id="1684700497">
          <w:marLeft w:val="0"/>
          <w:marRight w:val="0"/>
          <w:marTop w:val="166"/>
          <w:marBottom w:val="166"/>
          <w:divBdr>
            <w:top w:val="none" w:sz="0" w:space="0" w:color="auto"/>
            <w:left w:val="none" w:sz="0" w:space="0" w:color="auto"/>
            <w:bottom w:val="none" w:sz="0" w:space="0" w:color="auto"/>
            <w:right w:val="none" w:sz="0" w:space="0" w:color="auto"/>
          </w:divBdr>
        </w:div>
        <w:div w:id="688724921">
          <w:marLeft w:val="0"/>
          <w:marRight w:val="0"/>
          <w:marTop w:val="166"/>
          <w:marBottom w:val="166"/>
          <w:divBdr>
            <w:top w:val="none" w:sz="0" w:space="0" w:color="auto"/>
            <w:left w:val="none" w:sz="0" w:space="0" w:color="auto"/>
            <w:bottom w:val="none" w:sz="0" w:space="0" w:color="auto"/>
            <w:right w:val="none" w:sz="0" w:space="0" w:color="auto"/>
          </w:divBdr>
        </w:div>
        <w:div w:id="234169953">
          <w:marLeft w:val="0"/>
          <w:marRight w:val="0"/>
          <w:marTop w:val="166"/>
          <w:marBottom w:val="166"/>
          <w:divBdr>
            <w:top w:val="none" w:sz="0" w:space="0" w:color="auto"/>
            <w:left w:val="none" w:sz="0" w:space="0" w:color="auto"/>
            <w:bottom w:val="none" w:sz="0" w:space="0" w:color="auto"/>
            <w:right w:val="none" w:sz="0" w:space="0" w:color="auto"/>
          </w:divBdr>
        </w:div>
        <w:div w:id="1667053912">
          <w:marLeft w:val="0"/>
          <w:marRight w:val="0"/>
          <w:marTop w:val="166"/>
          <w:marBottom w:val="166"/>
          <w:divBdr>
            <w:top w:val="none" w:sz="0" w:space="0" w:color="auto"/>
            <w:left w:val="none" w:sz="0" w:space="0" w:color="auto"/>
            <w:bottom w:val="none" w:sz="0" w:space="0" w:color="auto"/>
            <w:right w:val="none" w:sz="0" w:space="0" w:color="auto"/>
          </w:divBdr>
        </w:div>
        <w:div w:id="173157741">
          <w:marLeft w:val="0"/>
          <w:marRight w:val="0"/>
          <w:marTop w:val="166"/>
          <w:marBottom w:val="166"/>
          <w:divBdr>
            <w:top w:val="none" w:sz="0" w:space="0" w:color="auto"/>
            <w:left w:val="none" w:sz="0" w:space="0" w:color="auto"/>
            <w:bottom w:val="none" w:sz="0" w:space="0" w:color="auto"/>
            <w:right w:val="none" w:sz="0" w:space="0" w:color="auto"/>
          </w:divBdr>
        </w:div>
        <w:div w:id="1430076271">
          <w:marLeft w:val="0"/>
          <w:marRight w:val="0"/>
          <w:marTop w:val="166"/>
          <w:marBottom w:val="166"/>
          <w:divBdr>
            <w:top w:val="none" w:sz="0" w:space="0" w:color="auto"/>
            <w:left w:val="none" w:sz="0" w:space="0" w:color="auto"/>
            <w:bottom w:val="none" w:sz="0" w:space="0" w:color="auto"/>
            <w:right w:val="none" w:sz="0" w:space="0" w:color="auto"/>
          </w:divBdr>
        </w:div>
        <w:div w:id="734818236">
          <w:marLeft w:val="0"/>
          <w:marRight w:val="0"/>
          <w:marTop w:val="166"/>
          <w:marBottom w:val="166"/>
          <w:divBdr>
            <w:top w:val="none" w:sz="0" w:space="0" w:color="auto"/>
            <w:left w:val="none" w:sz="0" w:space="0" w:color="auto"/>
            <w:bottom w:val="none" w:sz="0" w:space="0" w:color="auto"/>
            <w:right w:val="none" w:sz="0" w:space="0" w:color="auto"/>
          </w:divBdr>
        </w:div>
        <w:div w:id="979115548">
          <w:marLeft w:val="0"/>
          <w:marRight w:val="0"/>
          <w:marTop w:val="166"/>
          <w:marBottom w:val="166"/>
          <w:divBdr>
            <w:top w:val="none" w:sz="0" w:space="0" w:color="auto"/>
            <w:left w:val="none" w:sz="0" w:space="0" w:color="auto"/>
            <w:bottom w:val="none" w:sz="0" w:space="0" w:color="auto"/>
            <w:right w:val="none" w:sz="0" w:space="0" w:color="auto"/>
          </w:divBdr>
        </w:div>
        <w:div w:id="488405509">
          <w:marLeft w:val="0"/>
          <w:marRight w:val="0"/>
          <w:marTop w:val="166"/>
          <w:marBottom w:val="166"/>
          <w:divBdr>
            <w:top w:val="none" w:sz="0" w:space="0" w:color="auto"/>
            <w:left w:val="none" w:sz="0" w:space="0" w:color="auto"/>
            <w:bottom w:val="none" w:sz="0" w:space="0" w:color="auto"/>
            <w:right w:val="none" w:sz="0" w:space="0" w:color="auto"/>
          </w:divBdr>
        </w:div>
        <w:div w:id="1066024814">
          <w:marLeft w:val="0"/>
          <w:marRight w:val="0"/>
          <w:marTop w:val="166"/>
          <w:marBottom w:val="166"/>
          <w:divBdr>
            <w:top w:val="none" w:sz="0" w:space="0" w:color="auto"/>
            <w:left w:val="none" w:sz="0" w:space="0" w:color="auto"/>
            <w:bottom w:val="none" w:sz="0" w:space="0" w:color="auto"/>
            <w:right w:val="none" w:sz="0" w:space="0" w:color="auto"/>
          </w:divBdr>
        </w:div>
        <w:div w:id="1959678558">
          <w:marLeft w:val="0"/>
          <w:marRight w:val="0"/>
          <w:marTop w:val="166"/>
          <w:marBottom w:val="166"/>
          <w:divBdr>
            <w:top w:val="none" w:sz="0" w:space="0" w:color="auto"/>
            <w:left w:val="none" w:sz="0" w:space="0" w:color="auto"/>
            <w:bottom w:val="none" w:sz="0" w:space="0" w:color="auto"/>
            <w:right w:val="none" w:sz="0" w:space="0" w:color="auto"/>
          </w:divBdr>
        </w:div>
        <w:div w:id="2099453">
          <w:marLeft w:val="0"/>
          <w:marRight w:val="0"/>
          <w:marTop w:val="166"/>
          <w:marBottom w:val="166"/>
          <w:divBdr>
            <w:top w:val="none" w:sz="0" w:space="0" w:color="auto"/>
            <w:left w:val="none" w:sz="0" w:space="0" w:color="auto"/>
            <w:bottom w:val="none" w:sz="0" w:space="0" w:color="auto"/>
            <w:right w:val="none" w:sz="0" w:space="0" w:color="auto"/>
          </w:divBdr>
        </w:div>
        <w:div w:id="1402675756">
          <w:marLeft w:val="0"/>
          <w:marRight w:val="0"/>
          <w:marTop w:val="166"/>
          <w:marBottom w:val="166"/>
          <w:divBdr>
            <w:top w:val="none" w:sz="0" w:space="0" w:color="auto"/>
            <w:left w:val="none" w:sz="0" w:space="0" w:color="auto"/>
            <w:bottom w:val="none" w:sz="0" w:space="0" w:color="auto"/>
            <w:right w:val="none" w:sz="0" w:space="0" w:color="auto"/>
          </w:divBdr>
        </w:div>
        <w:div w:id="156506494">
          <w:marLeft w:val="0"/>
          <w:marRight w:val="0"/>
          <w:marTop w:val="166"/>
          <w:marBottom w:val="166"/>
          <w:divBdr>
            <w:top w:val="none" w:sz="0" w:space="0" w:color="auto"/>
            <w:left w:val="none" w:sz="0" w:space="0" w:color="auto"/>
            <w:bottom w:val="none" w:sz="0" w:space="0" w:color="auto"/>
            <w:right w:val="none" w:sz="0" w:space="0" w:color="auto"/>
          </w:divBdr>
        </w:div>
        <w:div w:id="145318153">
          <w:marLeft w:val="0"/>
          <w:marRight w:val="0"/>
          <w:marTop w:val="166"/>
          <w:marBottom w:val="166"/>
          <w:divBdr>
            <w:top w:val="none" w:sz="0" w:space="0" w:color="auto"/>
            <w:left w:val="none" w:sz="0" w:space="0" w:color="auto"/>
            <w:bottom w:val="none" w:sz="0" w:space="0" w:color="auto"/>
            <w:right w:val="none" w:sz="0" w:space="0" w:color="auto"/>
          </w:divBdr>
        </w:div>
        <w:div w:id="712538655">
          <w:marLeft w:val="0"/>
          <w:marRight w:val="0"/>
          <w:marTop w:val="166"/>
          <w:marBottom w:val="166"/>
          <w:divBdr>
            <w:top w:val="none" w:sz="0" w:space="0" w:color="auto"/>
            <w:left w:val="none" w:sz="0" w:space="0" w:color="auto"/>
            <w:bottom w:val="none" w:sz="0" w:space="0" w:color="auto"/>
            <w:right w:val="none" w:sz="0" w:space="0" w:color="auto"/>
          </w:divBdr>
        </w:div>
        <w:div w:id="791510042">
          <w:marLeft w:val="0"/>
          <w:marRight w:val="0"/>
          <w:marTop w:val="166"/>
          <w:marBottom w:val="166"/>
          <w:divBdr>
            <w:top w:val="none" w:sz="0" w:space="0" w:color="auto"/>
            <w:left w:val="none" w:sz="0" w:space="0" w:color="auto"/>
            <w:bottom w:val="none" w:sz="0" w:space="0" w:color="auto"/>
            <w:right w:val="none" w:sz="0" w:space="0" w:color="auto"/>
          </w:divBdr>
        </w:div>
        <w:div w:id="548956369">
          <w:marLeft w:val="0"/>
          <w:marRight w:val="0"/>
          <w:marTop w:val="166"/>
          <w:marBottom w:val="166"/>
          <w:divBdr>
            <w:top w:val="none" w:sz="0" w:space="0" w:color="auto"/>
            <w:left w:val="none" w:sz="0" w:space="0" w:color="auto"/>
            <w:bottom w:val="none" w:sz="0" w:space="0" w:color="auto"/>
            <w:right w:val="none" w:sz="0" w:space="0" w:color="auto"/>
          </w:divBdr>
        </w:div>
        <w:div w:id="920602928">
          <w:marLeft w:val="0"/>
          <w:marRight w:val="0"/>
          <w:marTop w:val="166"/>
          <w:marBottom w:val="166"/>
          <w:divBdr>
            <w:top w:val="none" w:sz="0" w:space="0" w:color="auto"/>
            <w:left w:val="none" w:sz="0" w:space="0" w:color="auto"/>
            <w:bottom w:val="none" w:sz="0" w:space="0" w:color="auto"/>
            <w:right w:val="none" w:sz="0" w:space="0" w:color="auto"/>
          </w:divBdr>
        </w:div>
        <w:div w:id="1663006951">
          <w:marLeft w:val="0"/>
          <w:marRight w:val="0"/>
          <w:marTop w:val="166"/>
          <w:marBottom w:val="166"/>
          <w:divBdr>
            <w:top w:val="none" w:sz="0" w:space="0" w:color="auto"/>
            <w:left w:val="none" w:sz="0" w:space="0" w:color="auto"/>
            <w:bottom w:val="none" w:sz="0" w:space="0" w:color="auto"/>
            <w:right w:val="none" w:sz="0" w:space="0" w:color="auto"/>
          </w:divBdr>
        </w:div>
        <w:div w:id="1933736721">
          <w:marLeft w:val="0"/>
          <w:marRight w:val="0"/>
          <w:marTop w:val="166"/>
          <w:marBottom w:val="166"/>
          <w:divBdr>
            <w:top w:val="none" w:sz="0" w:space="0" w:color="auto"/>
            <w:left w:val="none" w:sz="0" w:space="0" w:color="auto"/>
            <w:bottom w:val="none" w:sz="0" w:space="0" w:color="auto"/>
            <w:right w:val="none" w:sz="0" w:space="0" w:color="auto"/>
          </w:divBdr>
        </w:div>
        <w:div w:id="1810392961">
          <w:marLeft w:val="0"/>
          <w:marRight w:val="0"/>
          <w:marTop w:val="166"/>
          <w:marBottom w:val="166"/>
          <w:divBdr>
            <w:top w:val="none" w:sz="0" w:space="0" w:color="auto"/>
            <w:left w:val="none" w:sz="0" w:space="0" w:color="auto"/>
            <w:bottom w:val="none" w:sz="0" w:space="0" w:color="auto"/>
            <w:right w:val="none" w:sz="0" w:space="0" w:color="auto"/>
          </w:divBdr>
        </w:div>
        <w:div w:id="1516731286">
          <w:marLeft w:val="0"/>
          <w:marRight w:val="0"/>
          <w:marTop w:val="166"/>
          <w:marBottom w:val="166"/>
          <w:divBdr>
            <w:top w:val="none" w:sz="0" w:space="0" w:color="auto"/>
            <w:left w:val="none" w:sz="0" w:space="0" w:color="auto"/>
            <w:bottom w:val="none" w:sz="0" w:space="0" w:color="auto"/>
            <w:right w:val="none" w:sz="0" w:space="0" w:color="auto"/>
          </w:divBdr>
        </w:div>
        <w:div w:id="1393506615">
          <w:marLeft w:val="0"/>
          <w:marRight w:val="0"/>
          <w:marTop w:val="166"/>
          <w:marBottom w:val="166"/>
          <w:divBdr>
            <w:top w:val="none" w:sz="0" w:space="0" w:color="auto"/>
            <w:left w:val="none" w:sz="0" w:space="0" w:color="auto"/>
            <w:bottom w:val="none" w:sz="0" w:space="0" w:color="auto"/>
            <w:right w:val="none" w:sz="0" w:space="0" w:color="auto"/>
          </w:divBdr>
        </w:div>
        <w:div w:id="2098357944">
          <w:marLeft w:val="0"/>
          <w:marRight w:val="0"/>
          <w:marTop w:val="166"/>
          <w:marBottom w:val="166"/>
          <w:divBdr>
            <w:top w:val="none" w:sz="0" w:space="0" w:color="auto"/>
            <w:left w:val="none" w:sz="0" w:space="0" w:color="auto"/>
            <w:bottom w:val="none" w:sz="0" w:space="0" w:color="auto"/>
            <w:right w:val="none" w:sz="0" w:space="0" w:color="auto"/>
          </w:divBdr>
        </w:div>
        <w:div w:id="1065449429">
          <w:marLeft w:val="0"/>
          <w:marRight w:val="0"/>
          <w:marTop w:val="166"/>
          <w:marBottom w:val="166"/>
          <w:divBdr>
            <w:top w:val="none" w:sz="0" w:space="0" w:color="auto"/>
            <w:left w:val="none" w:sz="0" w:space="0" w:color="auto"/>
            <w:bottom w:val="none" w:sz="0" w:space="0" w:color="auto"/>
            <w:right w:val="none" w:sz="0" w:space="0" w:color="auto"/>
          </w:divBdr>
        </w:div>
        <w:div w:id="1182814116">
          <w:marLeft w:val="0"/>
          <w:marRight w:val="0"/>
          <w:marTop w:val="166"/>
          <w:marBottom w:val="166"/>
          <w:divBdr>
            <w:top w:val="none" w:sz="0" w:space="0" w:color="auto"/>
            <w:left w:val="none" w:sz="0" w:space="0" w:color="auto"/>
            <w:bottom w:val="none" w:sz="0" w:space="0" w:color="auto"/>
            <w:right w:val="none" w:sz="0" w:space="0" w:color="auto"/>
          </w:divBdr>
        </w:div>
        <w:div w:id="1597664304">
          <w:marLeft w:val="0"/>
          <w:marRight w:val="0"/>
          <w:marTop w:val="166"/>
          <w:marBottom w:val="166"/>
          <w:divBdr>
            <w:top w:val="none" w:sz="0" w:space="0" w:color="auto"/>
            <w:left w:val="none" w:sz="0" w:space="0" w:color="auto"/>
            <w:bottom w:val="none" w:sz="0" w:space="0" w:color="auto"/>
            <w:right w:val="none" w:sz="0" w:space="0" w:color="auto"/>
          </w:divBdr>
        </w:div>
        <w:div w:id="571811673">
          <w:marLeft w:val="0"/>
          <w:marRight w:val="0"/>
          <w:marTop w:val="166"/>
          <w:marBottom w:val="166"/>
          <w:divBdr>
            <w:top w:val="none" w:sz="0" w:space="0" w:color="auto"/>
            <w:left w:val="none" w:sz="0" w:space="0" w:color="auto"/>
            <w:bottom w:val="none" w:sz="0" w:space="0" w:color="auto"/>
            <w:right w:val="none" w:sz="0" w:space="0" w:color="auto"/>
          </w:divBdr>
        </w:div>
        <w:div w:id="442191576">
          <w:marLeft w:val="0"/>
          <w:marRight w:val="0"/>
          <w:marTop w:val="166"/>
          <w:marBottom w:val="166"/>
          <w:divBdr>
            <w:top w:val="none" w:sz="0" w:space="0" w:color="auto"/>
            <w:left w:val="none" w:sz="0" w:space="0" w:color="auto"/>
            <w:bottom w:val="none" w:sz="0" w:space="0" w:color="auto"/>
            <w:right w:val="none" w:sz="0" w:space="0" w:color="auto"/>
          </w:divBdr>
        </w:div>
        <w:div w:id="1428429275">
          <w:marLeft w:val="0"/>
          <w:marRight w:val="0"/>
          <w:marTop w:val="166"/>
          <w:marBottom w:val="166"/>
          <w:divBdr>
            <w:top w:val="none" w:sz="0" w:space="0" w:color="auto"/>
            <w:left w:val="none" w:sz="0" w:space="0" w:color="auto"/>
            <w:bottom w:val="none" w:sz="0" w:space="0" w:color="auto"/>
            <w:right w:val="none" w:sz="0" w:space="0" w:color="auto"/>
          </w:divBdr>
        </w:div>
        <w:div w:id="1677920782">
          <w:marLeft w:val="0"/>
          <w:marRight w:val="0"/>
          <w:marTop w:val="166"/>
          <w:marBottom w:val="166"/>
          <w:divBdr>
            <w:top w:val="none" w:sz="0" w:space="0" w:color="auto"/>
            <w:left w:val="none" w:sz="0" w:space="0" w:color="auto"/>
            <w:bottom w:val="none" w:sz="0" w:space="0" w:color="auto"/>
            <w:right w:val="none" w:sz="0" w:space="0" w:color="auto"/>
          </w:divBdr>
        </w:div>
        <w:div w:id="1000162389">
          <w:marLeft w:val="0"/>
          <w:marRight w:val="0"/>
          <w:marTop w:val="166"/>
          <w:marBottom w:val="166"/>
          <w:divBdr>
            <w:top w:val="none" w:sz="0" w:space="0" w:color="auto"/>
            <w:left w:val="none" w:sz="0" w:space="0" w:color="auto"/>
            <w:bottom w:val="none" w:sz="0" w:space="0" w:color="auto"/>
            <w:right w:val="none" w:sz="0" w:space="0" w:color="auto"/>
          </w:divBdr>
        </w:div>
        <w:div w:id="322703661">
          <w:marLeft w:val="0"/>
          <w:marRight w:val="0"/>
          <w:marTop w:val="166"/>
          <w:marBottom w:val="166"/>
          <w:divBdr>
            <w:top w:val="none" w:sz="0" w:space="0" w:color="auto"/>
            <w:left w:val="none" w:sz="0" w:space="0" w:color="auto"/>
            <w:bottom w:val="none" w:sz="0" w:space="0" w:color="auto"/>
            <w:right w:val="none" w:sz="0" w:space="0" w:color="auto"/>
          </w:divBdr>
        </w:div>
        <w:div w:id="1834566387">
          <w:marLeft w:val="0"/>
          <w:marRight w:val="0"/>
          <w:marTop w:val="166"/>
          <w:marBottom w:val="166"/>
          <w:divBdr>
            <w:top w:val="none" w:sz="0" w:space="0" w:color="auto"/>
            <w:left w:val="none" w:sz="0" w:space="0" w:color="auto"/>
            <w:bottom w:val="none" w:sz="0" w:space="0" w:color="auto"/>
            <w:right w:val="none" w:sz="0" w:space="0" w:color="auto"/>
          </w:divBdr>
        </w:div>
        <w:div w:id="1975796821">
          <w:marLeft w:val="0"/>
          <w:marRight w:val="0"/>
          <w:marTop w:val="166"/>
          <w:marBottom w:val="166"/>
          <w:divBdr>
            <w:top w:val="none" w:sz="0" w:space="0" w:color="auto"/>
            <w:left w:val="none" w:sz="0" w:space="0" w:color="auto"/>
            <w:bottom w:val="none" w:sz="0" w:space="0" w:color="auto"/>
            <w:right w:val="none" w:sz="0" w:space="0" w:color="auto"/>
          </w:divBdr>
        </w:div>
        <w:div w:id="239756094">
          <w:marLeft w:val="0"/>
          <w:marRight w:val="0"/>
          <w:marTop w:val="166"/>
          <w:marBottom w:val="166"/>
          <w:divBdr>
            <w:top w:val="none" w:sz="0" w:space="0" w:color="auto"/>
            <w:left w:val="none" w:sz="0" w:space="0" w:color="auto"/>
            <w:bottom w:val="none" w:sz="0" w:space="0" w:color="auto"/>
            <w:right w:val="none" w:sz="0" w:space="0" w:color="auto"/>
          </w:divBdr>
        </w:div>
        <w:div w:id="1477838247">
          <w:marLeft w:val="0"/>
          <w:marRight w:val="0"/>
          <w:marTop w:val="166"/>
          <w:marBottom w:val="166"/>
          <w:divBdr>
            <w:top w:val="none" w:sz="0" w:space="0" w:color="auto"/>
            <w:left w:val="none" w:sz="0" w:space="0" w:color="auto"/>
            <w:bottom w:val="none" w:sz="0" w:space="0" w:color="auto"/>
            <w:right w:val="none" w:sz="0" w:space="0" w:color="auto"/>
          </w:divBdr>
        </w:div>
        <w:div w:id="1792286627">
          <w:marLeft w:val="0"/>
          <w:marRight w:val="0"/>
          <w:marTop w:val="166"/>
          <w:marBottom w:val="166"/>
          <w:divBdr>
            <w:top w:val="none" w:sz="0" w:space="0" w:color="auto"/>
            <w:left w:val="none" w:sz="0" w:space="0" w:color="auto"/>
            <w:bottom w:val="none" w:sz="0" w:space="0" w:color="auto"/>
            <w:right w:val="none" w:sz="0" w:space="0" w:color="auto"/>
          </w:divBdr>
        </w:div>
        <w:div w:id="1168325121">
          <w:marLeft w:val="0"/>
          <w:marRight w:val="0"/>
          <w:marTop w:val="166"/>
          <w:marBottom w:val="166"/>
          <w:divBdr>
            <w:top w:val="none" w:sz="0" w:space="0" w:color="auto"/>
            <w:left w:val="none" w:sz="0" w:space="0" w:color="auto"/>
            <w:bottom w:val="none" w:sz="0" w:space="0" w:color="auto"/>
            <w:right w:val="none" w:sz="0" w:space="0" w:color="auto"/>
          </w:divBdr>
        </w:div>
        <w:div w:id="1591964113">
          <w:marLeft w:val="0"/>
          <w:marRight w:val="0"/>
          <w:marTop w:val="166"/>
          <w:marBottom w:val="166"/>
          <w:divBdr>
            <w:top w:val="none" w:sz="0" w:space="0" w:color="auto"/>
            <w:left w:val="none" w:sz="0" w:space="0" w:color="auto"/>
            <w:bottom w:val="none" w:sz="0" w:space="0" w:color="auto"/>
            <w:right w:val="none" w:sz="0" w:space="0" w:color="auto"/>
          </w:divBdr>
        </w:div>
        <w:div w:id="2124568689">
          <w:marLeft w:val="0"/>
          <w:marRight w:val="0"/>
          <w:marTop w:val="166"/>
          <w:marBottom w:val="166"/>
          <w:divBdr>
            <w:top w:val="none" w:sz="0" w:space="0" w:color="auto"/>
            <w:left w:val="none" w:sz="0" w:space="0" w:color="auto"/>
            <w:bottom w:val="none" w:sz="0" w:space="0" w:color="auto"/>
            <w:right w:val="none" w:sz="0" w:space="0" w:color="auto"/>
          </w:divBdr>
        </w:div>
        <w:div w:id="384642748">
          <w:marLeft w:val="0"/>
          <w:marRight w:val="0"/>
          <w:marTop w:val="166"/>
          <w:marBottom w:val="166"/>
          <w:divBdr>
            <w:top w:val="none" w:sz="0" w:space="0" w:color="auto"/>
            <w:left w:val="none" w:sz="0" w:space="0" w:color="auto"/>
            <w:bottom w:val="none" w:sz="0" w:space="0" w:color="auto"/>
            <w:right w:val="none" w:sz="0" w:space="0" w:color="auto"/>
          </w:divBdr>
        </w:div>
        <w:div w:id="2129079915">
          <w:marLeft w:val="0"/>
          <w:marRight w:val="0"/>
          <w:marTop w:val="166"/>
          <w:marBottom w:val="166"/>
          <w:divBdr>
            <w:top w:val="none" w:sz="0" w:space="0" w:color="auto"/>
            <w:left w:val="none" w:sz="0" w:space="0" w:color="auto"/>
            <w:bottom w:val="none" w:sz="0" w:space="0" w:color="auto"/>
            <w:right w:val="none" w:sz="0" w:space="0" w:color="auto"/>
          </w:divBdr>
        </w:div>
        <w:div w:id="1368292770">
          <w:marLeft w:val="0"/>
          <w:marRight w:val="0"/>
          <w:marTop w:val="166"/>
          <w:marBottom w:val="166"/>
          <w:divBdr>
            <w:top w:val="none" w:sz="0" w:space="0" w:color="auto"/>
            <w:left w:val="none" w:sz="0" w:space="0" w:color="auto"/>
            <w:bottom w:val="none" w:sz="0" w:space="0" w:color="auto"/>
            <w:right w:val="none" w:sz="0" w:space="0" w:color="auto"/>
          </w:divBdr>
        </w:div>
        <w:div w:id="1659073921">
          <w:marLeft w:val="0"/>
          <w:marRight w:val="0"/>
          <w:marTop w:val="166"/>
          <w:marBottom w:val="166"/>
          <w:divBdr>
            <w:top w:val="none" w:sz="0" w:space="0" w:color="auto"/>
            <w:left w:val="none" w:sz="0" w:space="0" w:color="auto"/>
            <w:bottom w:val="none" w:sz="0" w:space="0" w:color="auto"/>
            <w:right w:val="none" w:sz="0" w:space="0" w:color="auto"/>
          </w:divBdr>
        </w:div>
        <w:div w:id="1928421974">
          <w:marLeft w:val="0"/>
          <w:marRight w:val="0"/>
          <w:marTop w:val="166"/>
          <w:marBottom w:val="166"/>
          <w:divBdr>
            <w:top w:val="none" w:sz="0" w:space="0" w:color="auto"/>
            <w:left w:val="none" w:sz="0" w:space="0" w:color="auto"/>
            <w:bottom w:val="none" w:sz="0" w:space="0" w:color="auto"/>
            <w:right w:val="none" w:sz="0" w:space="0" w:color="auto"/>
          </w:divBdr>
        </w:div>
        <w:div w:id="297418099">
          <w:marLeft w:val="0"/>
          <w:marRight w:val="0"/>
          <w:marTop w:val="166"/>
          <w:marBottom w:val="166"/>
          <w:divBdr>
            <w:top w:val="none" w:sz="0" w:space="0" w:color="auto"/>
            <w:left w:val="none" w:sz="0" w:space="0" w:color="auto"/>
            <w:bottom w:val="none" w:sz="0" w:space="0" w:color="auto"/>
            <w:right w:val="none" w:sz="0" w:space="0" w:color="auto"/>
          </w:divBdr>
        </w:div>
        <w:div w:id="1841389813">
          <w:marLeft w:val="0"/>
          <w:marRight w:val="0"/>
          <w:marTop w:val="166"/>
          <w:marBottom w:val="166"/>
          <w:divBdr>
            <w:top w:val="none" w:sz="0" w:space="0" w:color="auto"/>
            <w:left w:val="none" w:sz="0" w:space="0" w:color="auto"/>
            <w:bottom w:val="none" w:sz="0" w:space="0" w:color="auto"/>
            <w:right w:val="none" w:sz="0" w:space="0" w:color="auto"/>
          </w:divBdr>
        </w:div>
        <w:div w:id="922184229">
          <w:marLeft w:val="0"/>
          <w:marRight w:val="0"/>
          <w:marTop w:val="166"/>
          <w:marBottom w:val="166"/>
          <w:divBdr>
            <w:top w:val="none" w:sz="0" w:space="0" w:color="auto"/>
            <w:left w:val="none" w:sz="0" w:space="0" w:color="auto"/>
            <w:bottom w:val="none" w:sz="0" w:space="0" w:color="auto"/>
            <w:right w:val="none" w:sz="0" w:space="0" w:color="auto"/>
          </w:divBdr>
        </w:div>
        <w:div w:id="676620789">
          <w:marLeft w:val="0"/>
          <w:marRight w:val="0"/>
          <w:marTop w:val="166"/>
          <w:marBottom w:val="166"/>
          <w:divBdr>
            <w:top w:val="none" w:sz="0" w:space="0" w:color="auto"/>
            <w:left w:val="none" w:sz="0" w:space="0" w:color="auto"/>
            <w:bottom w:val="none" w:sz="0" w:space="0" w:color="auto"/>
            <w:right w:val="none" w:sz="0" w:space="0" w:color="auto"/>
          </w:divBdr>
        </w:div>
        <w:div w:id="285963592">
          <w:marLeft w:val="0"/>
          <w:marRight w:val="0"/>
          <w:marTop w:val="166"/>
          <w:marBottom w:val="166"/>
          <w:divBdr>
            <w:top w:val="none" w:sz="0" w:space="0" w:color="auto"/>
            <w:left w:val="none" w:sz="0" w:space="0" w:color="auto"/>
            <w:bottom w:val="none" w:sz="0" w:space="0" w:color="auto"/>
            <w:right w:val="none" w:sz="0" w:space="0" w:color="auto"/>
          </w:divBdr>
        </w:div>
        <w:div w:id="43800802">
          <w:marLeft w:val="0"/>
          <w:marRight w:val="0"/>
          <w:marTop w:val="166"/>
          <w:marBottom w:val="166"/>
          <w:divBdr>
            <w:top w:val="none" w:sz="0" w:space="0" w:color="auto"/>
            <w:left w:val="none" w:sz="0" w:space="0" w:color="auto"/>
            <w:bottom w:val="none" w:sz="0" w:space="0" w:color="auto"/>
            <w:right w:val="none" w:sz="0" w:space="0" w:color="auto"/>
          </w:divBdr>
        </w:div>
        <w:div w:id="117263790">
          <w:marLeft w:val="0"/>
          <w:marRight w:val="0"/>
          <w:marTop w:val="166"/>
          <w:marBottom w:val="166"/>
          <w:divBdr>
            <w:top w:val="none" w:sz="0" w:space="0" w:color="auto"/>
            <w:left w:val="none" w:sz="0" w:space="0" w:color="auto"/>
            <w:bottom w:val="none" w:sz="0" w:space="0" w:color="auto"/>
            <w:right w:val="none" w:sz="0" w:space="0" w:color="auto"/>
          </w:divBdr>
        </w:div>
        <w:div w:id="1020203288">
          <w:marLeft w:val="0"/>
          <w:marRight w:val="0"/>
          <w:marTop w:val="166"/>
          <w:marBottom w:val="166"/>
          <w:divBdr>
            <w:top w:val="none" w:sz="0" w:space="0" w:color="auto"/>
            <w:left w:val="none" w:sz="0" w:space="0" w:color="auto"/>
            <w:bottom w:val="none" w:sz="0" w:space="0" w:color="auto"/>
            <w:right w:val="none" w:sz="0" w:space="0" w:color="auto"/>
          </w:divBdr>
        </w:div>
        <w:div w:id="1375740176">
          <w:marLeft w:val="0"/>
          <w:marRight w:val="0"/>
          <w:marTop w:val="166"/>
          <w:marBottom w:val="166"/>
          <w:divBdr>
            <w:top w:val="none" w:sz="0" w:space="0" w:color="auto"/>
            <w:left w:val="none" w:sz="0" w:space="0" w:color="auto"/>
            <w:bottom w:val="none" w:sz="0" w:space="0" w:color="auto"/>
            <w:right w:val="none" w:sz="0" w:space="0" w:color="auto"/>
          </w:divBdr>
        </w:div>
        <w:div w:id="2047951806">
          <w:marLeft w:val="0"/>
          <w:marRight w:val="0"/>
          <w:marTop w:val="166"/>
          <w:marBottom w:val="166"/>
          <w:divBdr>
            <w:top w:val="none" w:sz="0" w:space="0" w:color="auto"/>
            <w:left w:val="none" w:sz="0" w:space="0" w:color="auto"/>
            <w:bottom w:val="none" w:sz="0" w:space="0" w:color="auto"/>
            <w:right w:val="none" w:sz="0" w:space="0" w:color="auto"/>
          </w:divBdr>
        </w:div>
        <w:div w:id="1589002002">
          <w:marLeft w:val="0"/>
          <w:marRight w:val="0"/>
          <w:marTop w:val="166"/>
          <w:marBottom w:val="166"/>
          <w:divBdr>
            <w:top w:val="none" w:sz="0" w:space="0" w:color="auto"/>
            <w:left w:val="none" w:sz="0" w:space="0" w:color="auto"/>
            <w:bottom w:val="none" w:sz="0" w:space="0" w:color="auto"/>
            <w:right w:val="none" w:sz="0" w:space="0" w:color="auto"/>
          </w:divBdr>
        </w:div>
        <w:div w:id="1055129764">
          <w:marLeft w:val="0"/>
          <w:marRight w:val="0"/>
          <w:marTop w:val="166"/>
          <w:marBottom w:val="166"/>
          <w:divBdr>
            <w:top w:val="none" w:sz="0" w:space="0" w:color="auto"/>
            <w:left w:val="none" w:sz="0" w:space="0" w:color="auto"/>
            <w:bottom w:val="none" w:sz="0" w:space="0" w:color="auto"/>
            <w:right w:val="none" w:sz="0" w:space="0" w:color="auto"/>
          </w:divBdr>
        </w:div>
        <w:div w:id="537863588">
          <w:marLeft w:val="0"/>
          <w:marRight w:val="0"/>
          <w:marTop w:val="166"/>
          <w:marBottom w:val="166"/>
          <w:divBdr>
            <w:top w:val="none" w:sz="0" w:space="0" w:color="auto"/>
            <w:left w:val="none" w:sz="0" w:space="0" w:color="auto"/>
            <w:bottom w:val="none" w:sz="0" w:space="0" w:color="auto"/>
            <w:right w:val="none" w:sz="0" w:space="0" w:color="auto"/>
          </w:divBdr>
        </w:div>
        <w:div w:id="295381386">
          <w:marLeft w:val="0"/>
          <w:marRight w:val="0"/>
          <w:marTop w:val="166"/>
          <w:marBottom w:val="166"/>
          <w:divBdr>
            <w:top w:val="none" w:sz="0" w:space="0" w:color="auto"/>
            <w:left w:val="none" w:sz="0" w:space="0" w:color="auto"/>
            <w:bottom w:val="none" w:sz="0" w:space="0" w:color="auto"/>
            <w:right w:val="none" w:sz="0" w:space="0" w:color="auto"/>
          </w:divBdr>
        </w:div>
        <w:div w:id="926575115">
          <w:marLeft w:val="0"/>
          <w:marRight w:val="0"/>
          <w:marTop w:val="166"/>
          <w:marBottom w:val="166"/>
          <w:divBdr>
            <w:top w:val="none" w:sz="0" w:space="0" w:color="auto"/>
            <w:left w:val="none" w:sz="0" w:space="0" w:color="auto"/>
            <w:bottom w:val="none" w:sz="0" w:space="0" w:color="auto"/>
            <w:right w:val="none" w:sz="0" w:space="0" w:color="auto"/>
          </w:divBdr>
        </w:div>
        <w:div w:id="1559239301">
          <w:marLeft w:val="0"/>
          <w:marRight w:val="0"/>
          <w:marTop w:val="166"/>
          <w:marBottom w:val="166"/>
          <w:divBdr>
            <w:top w:val="none" w:sz="0" w:space="0" w:color="auto"/>
            <w:left w:val="none" w:sz="0" w:space="0" w:color="auto"/>
            <w:bottom w:val="none" w:sz="0" w:space="0" w:color="auto"/>
            <w:right w:val="none" w:sz="0" w:space="0" w:color="auto"/>
          </w:divBdr>
        </w:div>
        <w:div w:id="1792048735">
          <w:marLeft w:val="0"/>
          <w:marRight w:val="0"/>
          <w:marTop w:val="166"/>
          <w:marBottom w:val="166"/>
          <w:divBdr>
            <w:top w:val="none" w:sz="0" w:space="0" w:color="auto"/>
            <w:left w:val="none" w:sz="0" w:space="0" w:color="auto"/>
            <w:bottom w:val="none" w:sz="0" w:space="0" w:color="auto"/>
            <w:right w:val="none" w:sz="0" w:space="0" w:color="auto"/>
          </w:divBdr>
        </w:div>
        <w:div w:id="1034845801">
          <w:marLeft w:val="0"/>
          <w:marRight w:val="0"/>
          <w:marTop w:val="166"/>
          <w:marBottom w:val="166"/>
          <w:divBdr>
            <w:top w:val="none" w:sz="0" w:space="0" w:color="auto"/>
            <w:left w:val="none" w:sz="0" w:space="0" w:color="auto"/>
            <w:bottom w:val="none" w:sz="0" w:space="0" w:color="auto"/>
            <w:right w:val="none" w:sz="0" w:space="0" w:color="auto"/>
          </w:divBdr>
        </w:div>
        <w:div w:id="630356229">
          <w:marLeft w:val="0"/>
          <w:marRight w:val="0"/>
          <w:marTop w:val="166"/>
          <w:marBottom w:val="166"/>
          <w:divBdr>
            <w:top w:val="none" w:sz="0" w:space="0" w:color="auto"/>
            <w:left w:val="none" w:sz="0" w:space="0" w:color="auto"/>
            <w:bottom w:val="none" w:sz="0" w:space="0" w:color="auto"/>
            <w:right w:val="none" w:sz="0" w:space="0" w:color="auto"/>
          </w:divBdr>
        </w:div>
        <w:div w:id="1447852884">
          <w:marLeft w:val="0"/>
          <w:marRight w:val="0"/>
          <w:marTop w:val="166"/>
          <w:marBottom w:val="166"/>
          <w:divBdr>
            <w:top w:val="none" w:sz="0" w:space="0" w:color="auto"/>
            <w:left w:val="none" w:sz="0" w:space="0" w:color="auto"/>
            <w:bottom w:val="none" w:sz="0" w:space="0" w:color="auto"/>
            <w:right w:val="none" w:sz="0" w:space="0" w:color="auto"/>
          </w:divBdr>
        </w:div>
        <w:div w:id="71514761">
          <w:marLeft w:val="0"/>
          <w:marRight w:val="0"/>
          <w:marTop w:val="166"/>
          <w:marBottom w:val="166"/>
          <w:divBdr>
            <w:top w:val="none" w:sz="0" w:space="0" w:color="auto"/>
            <w:left w:val="none" w:sz="0" w:space="0" w:color="auto"/>
            <w:bottom w:val="none" w:sz="0" w:space="0" w:color="auto"/>
            <w:right w:val="none" w:sz="0" w:space="0" w:color="auto"/>
          </w:divBdr>
        </w:div>
        <w:div w:id="630091677">
          <w:marLeft w:val="0"/>
          <w:marRight w:val="0"/>
          <w:marTop w:val="166"/>
          <w:marBottom w:val="166"/>
          <w:divBdr>
            <w:top w:val="none" w:sz="0" w:space="0" w:color="auto"/>
            <w:left w:val="none" w:sz="0" w:space="0" w:color="auto"/>
            <w:bottom w:val="none" w:sz="0" w:space="0" w:color="auto"/>
            <w:right w:val="none" w:sz="0" w:space="0" w:color="auto"/>
          </w:divBdr>
        </w:div>
        <w:div w:id="247344913">
          <w:marLeft w:val="0"/>
          <w:marRight w:val="0"/>
          <w:marTop w:val="166"/>
          <w:marBottom w:val="166"/>
          <w:divBdr>
            <w:top w:val="none" w:sz="0" w:space="0" w:color="auto"/>
            <w:left w:val="none" w:sz="0" w:space="0" w:color="auto"/>
            <w:bottom w:val="none" w:sz="0" w:space="0" w:color="auto"/>
            <w:right w:val="none" w:sz="0" w:space="0" w:color="auto"/>
          </w:divBdr>
        </w:div>
        <w:div w:id="929238849">
          <w:marLeft w:val="0"/>
          <w:marRight w:val="0"/>
          <w:marTop w:val="166"/>
          <w:marBottom w:val="166"/>
          <w:divBdr>
            <w:top w:val="none" w:sz="0" w:space="0" w:color="auto"/>
            <w:left w:val="none" w:sz="0" w:space="0" w:color="auto"/>
            <w:bottom w:val="none" w:sz="0" w:space="0" w:color="auto"/>
            <w:right w:val="none" w:sz="0" w:space="0" w:color="auto"/>
          </w:divBdr>
        </w:div>
        <w:div w:id="916135374">
          <w:marLeft w:val="0"/>
          <w:marRight w:val="0"/>
          <w:marTop w:val="166"/>
          <w:marBottom w:val="166"/>
          <w:divBdr>
            <w:top w:val="none" w:sz="0" w:space="0" w:color="auto"/>
            <w:left w:val="none" w:sz="0" w:space="0" w:color="auto"/>
            <w:bottom w:val="none" w:sz="0" w:space="0" w:color="auto"/>
            <w:right w:val="none" w:sz="0" w:space="0" w:color="auto"/>
          </w:divBdr>
        </w:div>
        <w:div w:id="2143692515">
          <w:marLeft w:val="0"/>
          <w:marRight w:val="0"/>
          <w:marTop w:val="166"/>
          <w:marBottom w:val="166"/>
          <w:divBdr>
            <w:top w:val="none" w:sz="0" w:space="0" w:color="auto"/>
            <w:left w:val="none" w:sz="0" w:space="0" w:color="auto"/>
            <w:bottom w:val="none" w:sz="0" w:space="0" w:color="auto"/>
            <w:right w:val="none" w:sz="0" w:space="0" w:color="auto"/>
          </w:divBdr>
        </w:div>
        <w:div w:id="1590188202">
          <w:marLeft w:val="0"/>
          <w:marRight w:val="0"/>
          <w:marTop w:val="166"/>
          <w:marBottom w:val="166"/>
          <w:divBdr>
            <w:top w:val="none" w:sz="0" w:space="0" w:color="auto"/>
            <w:left w:val="none" w:sz="0" w:space="0" w:color="auto"/>
            <w:bottom w:val="none" w:sz="0" w:space="0" w:color="auto"/>
            <w:right w:val="none" w:sz="0" w:space="0" w:color="auto"/>
          </w:divBdr>
        </w:div>
        <w:div w:id="487984264">
          <w:marLeft w:val="0"/>
          <w:marRight w:val="0"/>
          <w:marTop w:val="166"/>
          <w:marBottom w:val="166"/>
          <w:divBdr>
            <w:top w:val="none" w:sz="0" w:space="0" w:color="auto"/>
            <w:left w:val="none" w:sz="0" w:space="0" w:color="auto"/>
            <w:bottom w:val="none" w:sz="0" w:space="0" w:color="auto"/>
            <w:right w:val="none" w:sz="0" w:space="0" w:color="auto"/>
          </w:divBdr>
        </w:div>
        <w:div w:id="1232228721">
          <w:marLeft w:val="0"/>
          <w:marRight w:val="0"/>
          <w:marTop w:val="166"/>
          <w:marBottom w:val="166"/>
          <w:divBdr>
            <w:top w:val="none" w:sz="0" w:space="0" w:color="auto"/>
            <w:left w:val="none" w:sz="0" w:space="0" w:color="auto"/>
            <w:bottom w:val="none" w:sz="0" w:space="0" w:color="auto"/>
            <w:right w:val="none" w:sz="0" w:space="0" w:color="auto"/>
          </w:divBdr>
        </w:div>
        <w:div w:id="239488955">
          <w:marLeft w:val="0"/>
          <w:marRight w:val="0"/>
          <w:marTop w:val="166"/>
          <w:marBottom w:val="166"/>
          <w:divBdr>
            <w:top w:val="none" w:sz="0" w:space="0" w:color="auto"/>
            <w:left w:val="none" w:sz="0" w:space="0" w:color="auto"/>
            <w:bottom w:val="none" w:sz="0" w:space="0" w:color="auto"/>
            <w:right w:val="none" w:sz="0" w:space="0" w:color="auto"/>
          </w:divBdr>
        </w:div>
        <w:div w:id="1738866811">
          <w:marLeft w:val="0"/>
          <w:marRight w:val="0"/>
          <w:marTop w:val="166"/>
          <w:marBottom w:val="166"/>
          <w:divBdr>
            <w:top w:val="none" w:sz="0" w:space="0" w:color="auto"/>
            <w:left w:val="none" w:sz="0" w:space="0" w:color="auto"/>
            <w:bottom w:val="none" w:sz="0" w:space="0" w:color="auto"/>
            <w:right w:val="none" w:sz="0" w:space="0" w:color="auto"/>
          </w:divBdr>
        </w:div>
        <w:div w:id="2006395544">
          <w:marLeft w:val="0"/>
          <w:marRight w:val="0"/>
          <w:marTop w:val="166"/>
          <w:marBottom w:val="166"/>
          <w:divBdr>
            <w:top w:val="none" w:sz="0" w:space="0" w:color="auto"/>
            <w:left w:val="none" w:sz="0" w:space="0" w:color="auto"/>
            <w:bottom w:val="none" w:sz="0" w:space="0" w:color="auto"/>
            <w:right w:val="none" w:sz="0" w:space="0" w:color="auto"/>
          </w:divBdr>
        </w:div>
        <w:div w:id="631441087">
          <w:marLeft w:val="0"/>
          <w:marRight w:val="0"/>
          <w:marTop w:val="166"/>
          <w:marBottom w:val="166"/>
          <w:divBdr>
            <w:top w:val="none" w:sz="0" w:space="0" w:color="auto"/>
            <w:left w:val="none" w:sz="0" w:space="0" w:color="auto"/>
            <w:bottom w:val="none" w:sz="0" w:space="0" w:color="auto"/>
            <w:right w:val="none" w:sz="0" w:space="0" w:color="auto"/>
          </w:divBdr>
        </w:div>
        <w:div w:id="1692948784">
          <w:marLeft w:val="0"/>
          <w:marRight w:val="0"/>
          <w:marTop w:val="166"/>
          <w:marBottom w:val="166"/>
          <w:divBdr>
            <w:top w:val="none" w:sz="0" w:space="0" w:color="auto"/>
            <w:left w:val="none" w:sz="0" w:space="0" w:color="auto"/>
            <w:bottom w:val="none" w:sz="0" w:space="0" w:color="auto"/>
            <w:right w:val="none" w:sz="0" w:space="0" w:color="auto"/>
          </w:divBdr>
        </w:div>
        <w:div w:id="535773093">
          <w:marLeft w:val="0"/>
          <w:marRight w:val="0"/>
          <w:marTop w:val="166"/>
          <w:marBottom w:val="166"/>
          <w:divBdr>
            <w:top w:val="none" w:sz="0" w:space="0" w:color="auto"/>
            <w:left w:val="none" w:sz="0" w:space="0" w:color="auto"/>
            <w:bottom w:val="none" w:sz="0" w:space="0" w:color="auto"/>
            <w:right w:val="none" w:sz="0" w:space="0" w:color="auto"/>
          </w:divBdr>
        </w:div>
        <w:div w:id="1135299653">
          <w:marLeft w:val="0"/>
          <w:marRight w:val="0"/>
          <w:marTop w:val="166"/>
          <w:marBottom w:val="166"/>
          <w:divBdr>
            <w:top w:val="none" w:sz="0" w:space="0" w:color="auto"/>
            <w:left w:val="none" w:sz="0" w:space="0" w:color="auto"/>
            <w:bottom w:val="none" w:sz="0" w:space="0" w:color="auto"/>
            <w:right w:val="none" w:sz="0" w:space="0" w:color="auto"/>
          </w:divBdr>
        </w:div>
        <w:div w:id="397091539">
          <w:marLeft w:val="0"/>
          <w:marRight w:val="0"/>
          <w:marTop w:val="166"/>
          <w:marBottom w:val="166"/>
          <w:divBdr>
            <w:top w:val="none" w:sz="0" w:space="0" w:color="auto"/>
            <w:left w:val="none" w:sz="0" w:space="0" w:color="auto"/>
            <w:bottom w:val="none" w:sz="0" w:space="0" w:color="auto"/>
            <w:right w:val="none" w:sz="0" w:space="0" w:color="auto"/>
          </w:divBdr>
        </w:div>
      </w:divsChild>
    </w:div>
    <w:div w:id="592054927">
      <w:bodyDiv w:val="1"/>
      <w:marLeft w:val="0"/>
      <w:marRight w:val="0"/>
      <w:marTop w:val="0"/>
      <w:marBottom w:val="0"/>
      <w:divBdr>
        <w:top w:val="none" w:sz="0" w:space="0" w:color="auto"/>
        <w:left w:val="none" w:sz="0" w:space="0" w:color="auto"/>
        <w:bottom w:val="none" w:sz="0" w:space="0" w:color="auto"/>
        <w:right w:val="none" w:sz="0" w:space="0" w:color="auto"/>
      </w:divBdr>
    </w:div>
    <w:div w:id="873349804">
      <w:bodyDiv w:val="1"/>
      <w:marLeft w:val="0"/>
      <w:marRight w:val="0"/>
      <w:marTop w:val="0"/>
      <w:marBottom w:val="0"/>
      <w:divBdr>
        <w:top w:val="none" w:sz="0" w:space="0" w:color="auto"/>
        <w:left w:val="none" w:sz="0" w:space="0" w:color="auto"/>
        <w:bottom w:val="none" w:sz="0" w:space="0" w:color="auto"/>
        <w:right w:val="none" w:sz="0" w:space="0" w:color="auto"/>
      </w:divBdr>
    </w:div>
    <w:div w:id="892694777">
      <w:bodyDiv w:val="1"/>
      <w:marLeft w:val="0"/>
      <w:marRight w:val="0"/>
      <w:marTop w:val="0"/>
      <w:marBottom w:val="0"/>
      <w:divBdr>
        <w:top w:val="none" w:sz="0" w:space="0" w:color="auto"/>
        <w:left w:val="none" w:sz="0" w:space="0" w:color="auto"/>
        <w:bottom w:val="none" w:sz="0" w:space="0" w:color="auto"/>
        <w:right w:val="none" w:sz="0" w:space="0" w:color="auto"/>
      </w:divBdr>
    </w:div>
    <w:div w:id="1037051702">
      <w:bodyDiv w:val="1"/>
      <w:marLeft w:val="0"/>
      <w:marRight w:val="0"/>
      <w:marTop w:val="0"/>
      <w:marBottom w:val="0"/>
      <w:divBdr>
        <w:top w:val="none" w:sz="0" w:space="0" w:color="auto"/>
        <w:left w:val="none" w:sz="0" w:space="0" w:color="auto"/>
        <w:bottom w:val="none" w:sz="0" w:space="0" w:color="auto"/>
        <w:right w:val="none" w:sz="0" w:space="0" w:color="auto"/>
      </w:divBdr>
    </w:div>
    <w:div w:id="1074820797">
      <w:bodyDiv w:val="1"/>
      <w:marLeft w:val="0"/>
      <w:marRight w:val="0"/>
      <w:marTop w:val="0"/>
      <w:marBottom w:val="0"/>
      <w:divBdr>
        <w:top w:val="none" w:sz="0" w:space="0" w:color="auto"/>
        <w:left w:val="none" w:sz="0" w:space="0" w:color="auto"/>
        <w:bottom w:val="none" w:sz="0" w:space="0" w:color="auto"/>
        <w:right w:val="none" w:sz="0" w:space="0" w:color="auto"/>
      </w:divBdr>
    </w:div>
    <w:div w:id="1096293832">
      <w:bodyDiv w:val="1"/>
      <w:marLeft w:val="0"/>
      <w:marRight w:val="0"/>
      <w:marTop w:val="0"/>
      <w:marBottom w:val="0"/>
      <w:divBdr>
        <w:top w:val="none" w:sz="0" w:space="0" w:color="auto"/>
        <w:left w:val="none" w:sz="0" w:space="0" w:color="auto"/>
        <w:bottom w:val="none" w:sz="0" w:space="0" w:color="auto"/>
        <w:right w:val="none" w:sz="0" w:space="0" w:color="auto"/>
      </w:divBdr>
    </w:div>
    <w:div w:id="1210141363">
      <w:bodyDiv w:val="1"/>
      <w:marLeft w:val="0"/>
      <w:marRight w:val="0"/>
      <w:marTop w:val="0"/>
      <w:marBottom w:val="0"/>
      <w:divBdr>
        <w:top w:val="none" w:sz="0" w:space="0" w:color="auto"/>
        <w:left w:val="none" w:sz="0" w:space="0" w:color="auto"/>
        <w:bottom w:val="none" w:sz="0" w:space="0" w:color="auto"/>
        <w:right w:val="none" w:sz="0" w:space="0" w:color="auto"/>
      </w:divBdr>
    </w:div>
    <w:div w:id="1358384496">
      <w:bodyDiv w:val="1"/>
      <w:marLeft w:val="0"/>
      <w:marRight w:val="0"/>
      <w:marTop w:val="0"/>
      <w:marBottom w:val="0"/>
      <w:divBdr>
        <w:top w:val="none" w:sz="0" w:space="0" w:color="auto"/>
        <w:left w:val="none" w:sz="0" w:space="0" w:color="auto"/>
        <w:bottom w:val="none" w:sz="0" w:space="0" w:color="auto"/>
        <w:right w:val="none" w:sz="0" w:space="0" w:color="auto"/>
      </w:divBdr>
    </w:div>
    <w:div w:id="1362366078">
      <w:bodyDiv w:val="1"/>
      <w:marLeft w:val="0"/>
      <w:marRight w:val="0"/>
      <w:marTop w:val="0"/>
      <w:marBottom w:val="0"/>
      <w:divBdr>
        <w:top w:val="none" w:sz="0" w:space="0" w:color="auto"/>
        <w:left w:val="none" w:sz="0" w:space="0" w:color="auto"/>
        <w:bottom w:val="none" w:sz="0" w:space="0" w:color="auto"/>
        <w:right w:val="none" w:sz="0" w:space="0" w:color="auto"/>
      </w:divBdr>
    </w:div>
    <w:div w:id="1399085144">
      <w:bodyDiv w:val="1"/>
      <w:marLeft w:val="0"/>
      <w:marRight w:val="0"/>
      <w:marTop w:val="0"/>
      <w:marBottom w:val="0"/>
      <w:divBdr>
        <w:top w:val="none" w:sz="0" w:space="0" w:color="auto"/>
        <w:left w:val="none" w:sz="0" w:space="0" w:color="auto"/>
        <w:bottom w:val="none" w:sz="0" w:space="0" w:color="auto"/>
        <w:right w:val="none" w:sz="0" w:space="0" w:color="auto"/>
      </w:divBdr>
    </w:div>
    <w:div w:id="1418673471">
      <w:bodyDiv w:val="1"/>
      <w:marLeft w:val="0"/>
      <w:marRight w:val="0"/>
      <w:marTop w:val="0"/>
      <w:marBottom w:val="0"/>
      <w:divBdr>
        <w:top w:val="none" w:sz="0" w:space="0" w:color="auto"/>
        <w:left w:val="none" w:sz="0" w:space="0" w:color="auto"/>
        <w:bottom w:val="none" w:sz="0" w:space="0" w:color="auto"/>
        <w:right w:val="none" w:sz="0" w:space="0" w:color="auto"/>
      </w:divBdr>
    </w:div>
    <w:div w:id="1822770418">
      <w:bodyDiv w:val="1"/>
      <w:marLeft w:val="0"/>
      <w:marRight w:val="0"/>
      <w:marTop w:val="0"/>
      <w:marBottom w:val="0"/>
      <w:divBdr>
        <w:top w:val="none" w:sz="0" w:space="0" w:color="auto"/>
        <w:left w:val="none" w:sz="0" w:space="0" w:color="auto"/>
        <w:bottom w:val="none" w:sz="0" w:space="0" w:color="auto"/>
        <w:right w:val="none" w:sz="0" w:space="0" w:color="auto"/>
      </w:divBdr>
    </w:div>
    <w:div w:id="2002464893">
      <w:bodyDiv w:val="1"/>
      <w:marLeft w:val="0"/>
      <w:marRight w:val="0"/>
      <w:marTop w:val="0"/>
      <w:marBottom w:val="0"/>
      <w:divBdr>
        <w:top w:val="none" w:sz="0" w:space="0" w:color="auto"/>
        <w:left w:val="none" w:sz="0" w:space="0" w:color="auto"/>
        <w:bottom w:val="none" w:sz="0" w:space="0" w:color="auto"/>
        <w:right w:val="none" w:sz="0" w:space="0" w:color="auto"/>
      </w:divBdr>
    </w:div>
    <w:div w:id="2004385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ncbi.nlm.nih.gov/pubmed/12823037" TargetMode="External"/><Relationship Id="rId299" Type="http://schemas.openxmlformats.org/officeDocument/2006/relationships/hyperlink" Target="https://www.ncbi.nlm.nih.gov/pubmed/14569604" TargetMode="External"/><Relationship Id="rId21" Type="http://schemas.openxmlformats.org/officeDocument/2006/relationships/hyperlink" Target="https://www.ncbi.nlm.nih.gov/pmc/articles/PMC3381605/" TargetMode="External"/><Relationship Id="rId63" Type="http://schemas.openxmlformats.org/officeDocument/2006/relationships/hyperlink" Target="https://www.ncbi.nlm.nih.gov/pmc/articles/PMC3381605/" TargetMode="External"/><Relationship Id="rId159" Type="http://schemas.openxmlformats.org/officeDocument/2006/relationships/hyperlink" Target="https://scholar.google.com/scholar_lookup?journal=Clin+Infect+Dis&amp;title=Plasma+patterns+of+tumor+necrosis+factor-alpha+(TNF)+and+TNF+soluble+receptors+during+acute+meningococcal+infections+and+the+effect+of+plasma+exchange&amp;author=M+van+Deuren&amp;author=JT+Frieling&amp;author=J+van+der+Ven-Jongekrijg&amp;volume=26&amp;issue=4&amp;publication_year=1998&amp;pages=918-923&amp;pmid=9564476&amp;" TargetMode="External"/><Relationship Id="rId170" Type="http://schemas.openxmlformats.org/officeDocument/2006/relationships/hyperlink" Target="https://www.ncbi.nlm.nih.gov/pubmed/10611626" TargetMode="External"/><Relationship Id="rId226" Type="http://schemas.openxmlformats.org/officeDocument/2006/relationships/hyperlink" Target="https://www.ncbi.nlm.nih.gov/pubmed/17285615" TargetMode="External"/><Relationship Id="rId268" Type="http://schemas.openxmlformats.org/officeDocument/2006/relationships/hyperlink" Target="https://www.ncbi.nlm.nih.gov/pubmed/11781423" TargetMode="External"/><Relationship Id="rId32" Type="http://schemas.openxmlformats.org/officeDocument/2006/relationships/hyperlink" Target="https://www.ncbi.nlm.nih.gov/pmc/articles/PMC3381605/" TargetMode="External"/><Relationship Id="rId74" Type="http://schemas.openxmlformats.org/officeDocument/2006/relationships/hyperlink" Target="https://www.ncbi.nlm.nih.gov/pmc/articles/PMC3381605/" TargetMode="External"/><Relationship Id="rId128" Type="http://schemas.openxmlformats.org/officeDocument/2006/relationships/hyperlink" Target="https://www.ncbi.nlm.nih.gov/pubmed/15026315" TargetMode="External"/><Relationship Id="rId5" Type="http://schemas.openxmlformats.org/officeDocument/2006/relationships/hyperlink" Target="https://www.ncbi.nlm.nih.gov/pmc/articles/PMC3381605/" TargetMode="External"/><Relationship Id="rId181" Type="http://schemas.openxmlformats.org/officeDocument/2006/relationships/hyperlink" Target="https://scholar.google.com/scholar_lookup?journal=Transfusion&amp;title=Thrombotic+thrombocytopenic+purpura-hemolytic+uremic+syndrome+following+allogeneic+HPC+transplantation:+a+diagnostic+dilemma&amp;author=JN+George&amp;author=X+Li&amp;author=JR+McMinn&amp;author=DR+Terrell&amp;author=SK+Vesely&amp;volume=44&amp;issue=2&amp;publication_year=2004&amp;pages=294-304&amp;pmid=14962323&amp;" TargetMode="External"/><Relationship Id="rId237" Type="http://schemas.openxmlformats.org/officeDocument/2006/relationships/hyperlink" Target="https://scholar.google.com/scholar_lookup?journal=Neurochem+Int&amp;title=GABAergic+neurosteroids:+The+%22endogenous+benzodiazepines%22+of+acute+liver+failure&amp;author=S+Ahboucha&amp;author=H+Gamrani&amp;author=G+Baker&amp;publication_year=2011&amp;" TargetMode="External"/><Relationship Id="rId279" Type="http://schemas.openxmlformats.org/officeDocument/2006/relationships/hyperlink" Target="https://scholar.google.com/scholar_lookup?journal=Medicine+(Baltimore)&amp;title=Alveolar+hemorrhage+in+anti-basement+membrane+antibody+disease:+a+series+of+28+cases&amp;author=R+Lazor&amp;author=L+Bigay-Game&amp;author=V+Cottin&amp;volume=86&amp;issue=3&amp;publication_year=2007&amp;pages=181-193&amp;pmid=17505257&amp;" TargetMode="External"/><Relationship Id="rId43" Type="http://schemas.openxmlformats.org/officeDocument/2006/relationships/hyperlink" Target="https://www.ncbi.nlm.nih.gov/pmc/articles/PMC3381605/" TargetMode="External"/><Relationship Id="rId139" Type="http://schemas.openxmlformats.org/officeDocument/2006/relationships/hyperlink" Target="https://www.ncbi.nlm.nih.gov/pubmed/2062330" TargetMode="External"/><Relationship Id="rId290" Type="http://schemas.openxmlformats.org/officeDocument/2006/relationships/hyperlink" Target="https://www.ncbi.nlm.nih.gov/pubmed/17582159" TargetMode="External"/><Relationship Id="rId304" Type="http://schemas.openxmlformats.org/officeDocument/2006/relationships/hyperlink" Target="https://scholar.google.com/scholar_lookup?journal=Blood&amp;title=Immunologic+and+clinical+effects+of+repeated+blood+exchange+in+familial+erythrophagocytic+lymphohistiocytosis&amp;author=S+Ladisch&amp;author=W+Ho&amp;author=D+Matheson&amp;author=R+Pilkington&amp;author=G+Hartman&amp;volume=60&amp;issue=4&amp;publication_year=1982&amp;pages=814-821&amp;pmid=7115950&amp;" TargetMode="External"/><Relationship Id="rId85" Type="http://schemas.openxmlformats.org/officeDocument/2006/relationships/hyperlink" Target="https://www.ncbi.nlm.nih.gov/pmc/articles/PMC3381605/" TargetMode="External"/><Relationship Id="rId150" Type="http://schemas.openxmlformats.org/officeDocument/2006/relationships/hyperlink" Target="https://www.ncbi.nlm.nih.gov/pubmed/14871243" TargetMode="External"/><Relationship Id="rId192" Type="http://schemas.openxmlformats.org/officeDocument/2006/relationships/hyperlink" Target="https://www.ncbi.nlm.nih.gov/pmc/articles/PMC3500614/" TargetMode="External"/><Relationship Id="rId206" Type="http://schemas.openxmlformats.org/officeDocument/2006/relationships/hyperlink" Target="https://www.ncbi.nlm.nih.gov/pubmed/14625834" TargetMode="External"/><Relationship Id="rId248" Type="http://schemas.openxmlformats.org/officeDocument/2006/relationships/hyperlink" Target="https://scholar.google.com/scholar_lookup?journal=Am+J+Transplant&amp;title=Multicenter+experience+of+ABO-incompatible+pediatric+cardiac+transplantation&amp;author=SL+Roche&amp;author=M+Burch&amp;author=J+O%27Sullivan&amp;volume=8&amp;issue=1&amp;publication_year=2008&amp;pages=208-215&amp;pmid=18021280&amp;" TargetMode="External"/><Relationship Id="rId12" Type="http://schemas.openxmlformats.org/officeDocument/2006/relationships/hyperlink" Target="https://www.ncbi.nlm.nih.gov/pmc/articles/PMC3381605/" TargetMode="External"/><Relationship Id="rId108" Type="http://schemas.openxmlformats.org/officeDocument/2006/relationships/hyperlink" Target="https://www.ncbi.nlm.nih.gov/pmc/articles/PMC3381605/" TargetMode="External"/><Relationship Id="rId315" Type="http://schemas.openxmlformats.org/officeDocument/2006/relationships/hyperlink" Target="https://www.ncbi.nlm.nih.gov/pmc/articles/PMC3087486/" TargetMode="External"/><Relationship Id="rId54" Type="http://schemas.openxmlformats.org/officeDocument/2006/relationships/hyperlink" Target="https://www.ncbi.nlm.nih.gov/pmc/articles/PMC3381605/" TargetMode="External"/><Relationship Id="rId96" Type="http://schemas.openxmlformats.org/officeDocument/2006/relationships/hyperlink" Target="https://www.ncbi.nlm.nih.gov/pmc/articles/PMC3381605/" TargetMode="External"/><Relationship Id="rId161" Type="http://schemas.openxmlformats.org/officeDocument/2006/relationships/hyperlink" Target="https://www.ncbi.nlm.nih.gov/pubmed/18828196" TargetMode="External"/><Relationship Id="rId217" Type="http://schemas.openxmlformats.org/officeDocument/2006/relationships/hyperlink" Target="https://scholar.google.com/scholar_lookup?journal=Lancet&amp;title=Randomised+trial+of+plasma+exchange+in+mild+systemic+lupus+erythematosus&amp;author=N+Wei&amp;author=JH+Klippel&amp;author=DP+Huston&amp;volume=1&amp;issue=8314%E2%80%935&amp;publication_year=1983&amp;pages=17-22&amp;pmid=6129368&amp;" TargetMode="External"/><Relationship Id="rId259" Type="http://schemas.openxmlformats.org/officeDocument/2006/relationships/hyperlink" Target="https://www.ncbi.nlm.nih.gov/pubmed/15493052" TargetMode="External"/><Relationship Id="rId23" Type="http://schemas.openxmlformats.org/officeDocument/2006/relationships/hyperlink" Target="https://www.ncbi.nlm.nih.gov/pmc/articles/PMC3381605/" TargetMode="External"/><Relationship Id="rId119" Type="http://schemas.openxmlformats.org/officeDocument/2006/relationships/hyperlink" Target="https://www.ncbi.nlm.nih.gov/pubmed/11328948" TargetMode="External"/><Relationship Id="rId270" Type="http://schemas.openxmlformats.org/officeDocument/2006/relationships/hyperlink" Target="https://www.ncbi.nlm.nih.gov/pubmed/16286539" TargetMode="External"/><Relationship Id="rId65" Type="http://schemas.openxmlformats.org/officeDocument/2006/relationships/hyperlink" Target="https://www.ncbi.nlm.nih.gov/pmc/articles/PMC3381605/" TargetMode="External"/><Relationship Id="rId130" Type="http://schemas.openxmlformats.org/officeDocument/2006/relationships/hyperlink" Target="https://www.ncbi.nlm.nih.gov/pubmed/15388580" TargetMode="External"/><Relationship Id="rId172" Type="http://schemas.openxmlformats.org/officeDocument/2006/relationships/hyperlink" Target="https://www.ncbi.nlm.nih.gov/pubmed/19324520" TargetMode="External"/><Relationship Id="rId228" Type="http://schemas.openxmlformats.org/officeDocument/2006/relationships/hyperlink" Target="https://www.ncbi.nlm.nih.gov/pubmed/9595013" TargetMode="External"/><Relationship Id="rId281" Type="http://schemas.openxmlformats.org/officeDocument/2006/relationships/hyperlink" Target="https://scholar.google.com/scholar_lookup?journal=Am+J+Kidney+Dis&amp;title=Predictive+value+of+initial+histology+and+effect+of+plasmapheresis+on+long-term+prognosis+of+rapidly+progressive+glomerulonephritis&amp;author=I+Zauner&amp;author=D+Bach&amp;author=N+Braun&amp;volume=39&amp;issue=1&amp;publication_year=2002&amp;pages=28-35&amp;pmid=11774098&amp;" TargetMode="External"/><Relationship Id="rId34" Type="http://schemas.openxmlformats.org/officeDocument/2006/relationships/hyperlink" Target="https://www.ncbi.nlm.nih.gov/pmc/articles/PMC3381605/" TargetMode="External"/><Relationship Id="rId55" Type="http://schemas.openxmlformats.org/officeDocument/2006/relationships/hyperlink" Target="https://www.ncbi.nlm.nih.gov/pmc/articles/PMC3381605/" TargetMode="External"/><Relationship Id="rId76" Type="http://schemas.openxmlformats.org/officeDocument/2006/relationships/hyperlink" Target="https://www.ncbi.nlm.nih.gov/pmc/articles/PMC3381605/" TargetMode="External"/><Relationship Id="rId97" Type="http://schemas.openxmlformats.org/officeDocument/2006/relationships/hyperlink" Target="https://www.ncbi.nlm.nih.gov/pmc/articles/PMC3381605/" TargetMode="External"/><Relationship Id="rId120" Type="http://schemas.openxmlformats.org/officeDocument/2006/relationships/hyperlink" Target="https://scholar.google.com/scholar_lookup?journal=Pediatr+Res&amp;title=von+Willebrand+factor+and+von+Willebrand+factor-cleaving+metalloprotease+activity+in+Escherichia+coli+O157:H7-associated+hemolytic+uremic+syndrome&amp;author=HM+Tsai&amp;author=WL+Chandler&amp;author=R+Sarode&amp;volume=49&amp;issue=5&amp;publication_year=2001&amp;pages=653-659&amp;pmid=11328948&amp;" TargetMode="External"/><Relationship Id="rId141" Type="http://schemas.openxmlformats.org/officeDocument/2006/relationships/hyperlink" Target="https://www.ncbi.nlm.nih.gov/pmc/articles/PMC3530919/" TargetMode="External"/><Relationship Id="rId7" Type="http://schemas.openxmlformats.org/officeDocument/2006/relationships/hyperlink" Target="https://www.ncbi.nlm.nih.gov/pmc/articles/PMC3381605/" TargetMode="External"/><Relationship Id="rId162" Type="http://schemas.openxmlformats.org/officeDocument/2006/relationships/hyperlink" Target="https://scholar.google.com/scholar_lookup?journal=Crit+Care+Med&amp;title=Intensive+plasma+exchange+increases+a+disintegrin+and+metalloprotease+with+thrombospondin+motifs-13+activity+and+reverses+organ+dysfunction+in+children+with+thrombocytopenia-associated+multiple+organ+failure*&amp;author=TC+Nguyen&amp;author=YY+Han&amp;author=JE+Kiss&amp;volume=36&amp;issue=10&amp;publication_year=2008&amp;pages=2878-2887&amp;pmid=18828196&amp;" TargetMode="External"/><Relationship Id="rId183" Type="http://schemas.openxmlformats.org/officeDocument/2006/relationships/hyperlink" Target="https://scholar.google.com/scholar_lookup?journal=Mayo+Clin+Proc&amp;title=Posttransplantation+thrombotic+thrombocytopenic+purpura:+a+single-center+experience+and+a+contemporary+review&amp;author=MA+Elliott&amp;author=WL+Nichols&amp;author=EA+Plumhoff&amp;volume=78&amp;issue=4&amp;publication_year=2003&amp;pages=421-430&amp;pmid=12683694&amp;" TargetMode="External"/><Relationship Id="rId218" Type="http://schemas.openxmlformats.org/officeDocument/2006/relationships/hyperlink" Target="https://www.ncbi.nlm.nih.gov/pubmed/8749568" TargetMode="External"/><Relationship Id="rId239" Type="http://schemas.openxmlformats.org/officeDocument/2006/relationships/hyperlink" Target="https://scholar.google.com/scholar_lookup?journal=J+Clin+Apher&amp;title=The+effect+of+total+plasma+exchange+on+fulminant+hepatic+failure&amp;author=M+Akdogan&amp;author=C+Camci&amp;author=A+Gurakar&amp;volume=21&amp;issue=2&amp;publication_year=2006&amp;pages=96-99&amp;pmid=16142721&amp;" TargetMode="External"/><Relationship Id="rId250" Type="http://schemas.openxmlformats.org/officeDocument/2006/relationships/hyperlink" Target="https://scholar.google.com/scholar_lookup?journal=N+Engl+J+Med&amp;title=ABO-incompatible+heart+transplantation+in+infants&amp;author=LJ+West&amp;author=SM+Pollock-Barziv&amp;author=AI+Dipchand&amp;volume=344&amp;issue=11&amp;publication_year=2001&amp;pages=793-800&amp;pmid=11248154&amp;" TargetMode="External"/><Relationship Id="rId271" Type="http://schemas.openxmlformats.org/officeDocument/2006/relationships/hyperlink" Target="https://scholar.google.com/scholar_lookup?journal=Arch+Neurol&amp;title=Acute+disseminated+encephalomyelitis:+an+update&amp;author=T+Menge&amp;author=B+Hemmer&amp;author=S+Nessler&amp;volume=62&amp;issue=11&amp;publication_year=2005&amp;pages=1673-1680&amp;pmid=16286539&amp;" TargetMode="External"/><Relationship Id="rId292" Type="http://schemas.openxmlformats.org/officeDocument/2006/relationships/hyperlink" Target="https://www.ncbi.nlm.nih.gov/pubmed/16937360" TargetMode="External"/><Relationship Id="rId306" Type="http://schemas.openxmlformats.org/officeDocument/2006/relationships/hyperlink" Target="https://scholar.google.com/scholar_lookup?journal=Ther+Apher+Dial&amp;title=A+case+report+of+successful+treatment+with+plasma+exchange+for+hemophagocytic+syndrome+associated+with+severe+systemic+juvenile+idiopathic+arthritis+in+an+infant+girl&amp;author=H+Nakakura&amp;author=A+Ashida&amp;author=H+Matsumura&amp;volume=13&amp;issue=1&amp;publication_year=2009&amp;pages=71-76&amp;pmid=19379173&amp;" TargetMode="External"/><Relationship Id="rId24" Type="http://schemas.openxmlformats.org/officeDocument/2006/relationships/hyperlink" Target="https://www.ncbi.nlm.nih.gov/pmc/articles/PMC3381605/" TargetMode="External"/><Relationship Id="rId45" Type="http://schemas.openxmlformats.org/officeDocument/2006/relationships/hyperlink" Target="https://www.ncbi.nlm.nih.gov/pmc/articles/PMC3381605/" TargetMode="External"/><Relationship Id="rId66" Type="http://schemas.openxmlformats.org/officeDocument/2006/relationships/hyperlink" Target="https://www.ncbi.nlm.nih.gov/pmc/articles/PMC3381605/" TargetMode="External"/><Relationship Id="rId87" Type="http://schemas.openxmlformats.org/officeDocument/2006/relationships/hyperlink" Target="https://www.ncbi.nlm.nih.gov/pmc/articles/PMC3381605/" TargetMode="External"/><Relationship Id="rId110" Type="http://schemas.openxmlformats.org/officeDocument/2006/relationships/hyperlink" Target="https://scholar.google.com/scholar_lookup?journal=J+Clin+Apher&amp;title=Guidelines+on+the+use+of+therapeutic+apheresis+in+clinical+practice--evidence-based+approach+from+the+Apheresis+Applications+Committee+of+the+American+Society+for+Apheresis&amp;author=ZM+Szczepiorkowski&amp;author=JL+Winters&amp;author=N+Bandarenko&amp;volume=25&amp;issue=3&amp;publication_year=2010&amp;pages=83-177&amp;pmid=20568098&amp;" TargetMode="External"/><Relationship Id="rId131" Type="http://schemas.openxmlformats.org/officeDocument/2006/relationships/hyperlink" Target="https://scholar.google.com/scholar_lookup?journal=Blood&amp;title=Proteolytic+inactivation+of+ADAMTS13+by+thrombin+and+plasmin&amp;author=JT+Crawley&amp;author=JK+Lam&amp;author=JB+Rance&amp;author=LR+Mollica&amp;author=JS+O%27Donnell&amp;volume=105&amp;issue=3&amp;publication_year=2005&amp;pages=1085-1093&amp;pmid=15388580&amp;" TargetMode="External"/><Relationship Id="rId152" Type="http://schemas.openxmlformats.org/officeDocument/2006/relationships/hyperlink" Target="https://www.ncbi.nlm.nih.gov/pubmed/8770708" TargetMode="External"/><Relationship Id="rId173" Type="http://schemas.openxmlformats.org/officeDocument/2006/relationships/hyperlink" Target="https://scholar.google.com/scholar_lookup?journal=J+Autoimmun&amp;title=Catastrophic+antiphospholipid+syndrome+(CAPS):+descriptive+analysis+of+a+series+of+280+patients+from+the+%22CAPS+Registry%22&amp;author=R+Cervera&amp;author=S+Bucciarelli&amp;author=MA+Plasin&amp;volume=32&amp;issue=3%E2%80%934&amp;publication_year=2009&amp;pages=240-245&amp;pmid=19324520&amp;" TargetMode="External"/><Relationship Id="rId194" Type="http://schemas.openxmlformats.org/officeDocument/2006/relationships/hyperlink" Target="https://scholar.google.com/scholar_lookup?journal=Kidney+Int+Suppl&amp;title=Ticlopidine-+and+clopidogrel-associated+thrombotic+thrombocytopenic+purpura+(TTP):+review+of+clinical,+laboratory,+epidemiological,+and+pharmacovigilance+findings+(1989%E2%80%932008)&amp;author=A+Zakarija&amp;author=HC+Kwaan&amp;author=JL+Moake&amp;volume=112&amp;publication_year=2009&amp;pages=S20-S24&amp;pmid=19180126&amp;" TargetMode="External"/><Relationship Id="rId208" Type="http://schemas.openxmlformats.org/officeDocument/2006/relationships/hyperlink" Target="https://www.ncbi.nlm.nih.gov/pubmed/11119071" TargetMode="External"/><Relationship Id="rId229" Type="http://schemas.openxmlformats.org/officeDocument/2006/relationships/hyperlink" Target="https://scholar.google.com/scholar_lookup?journal=Transfusion&amp;title=Effective+removal+of+copper+by+plasma+exchange+in+fulminant+Wilson%27s+disease&amp;author=JE+Kiss&amp;author=D+Berman&amp;author=D+Van+Thiel&amp;volume=38&amp;issue=4&amp;publication_year=1998&amp;pages=327-331&amp;pmid=9595013&amp;" TargetMode="External"/><Relationship Id="rId240" Type="http://schemas.openxmlformats.org/officeDocument/2006/relationships/hyperlink" Target="https://www.ncbi.nlm.nih.gov/pubmed/10941639" TargetMode="External"/><Relationship Id="rId261" Type="http://schemas.openxmlformats.org/officeDocument/2006/relationships/hyperlink" Target="https://www.ncbi.nlm.nih.gov/pubmed/15923696" TargetMode="External"/><Relationship Id="rId14" Type="http://schemas.openxmlformats.org/officeDocument/2006/relationships/hyperlink" Target="https://www.ncbi.nlm.nih.gov/pmc/articles/PMC3381605/" TargetMode="External"/><Relationship Id="rId35" Type="http://schemas.openxmlformats.org/officeDocument/2006/relationships/hyperlink" Target="https://www.ncbi.nlm.nih.gov/pmc/articles/PMC3381605/" TargetMode="External"/><Relationship Id="rId56" Type="http://schemas.openxmlformats.org/officeDocument/2006/relationships/hyperlink" Target="https://www.ncbi.nlm.nih.gov/pmc/articles/PMC3381605/" TargetMode="External"/><Relationship Id="rId77" Type="http://schemas.openxmlformats.org/officeDocument/2006/relationships/hyperlink" Target="https://www.ncbi.nlm.nih.gov/pmc/articles/PMC3381605/" TargetMode="External"/><Relationship Id="rId100" Type="http://schemas.openxmlformats.org/officeDocument/2006/relationships/hyperlink" Target="https://www.ncbi.nlm.nih.gov/pmc/articles/PMC3381605/" TargetMode="External"/><Relationship Id="rId282" Type="http://schemas.openxmlformats.org/officeDocument/2006/relationships/hyperlink" Target="https://www.ncbi.nlm.nih.gov/pubmed/15599880" TargetMode="External"/><Relationship Id="rId317" Type="http://schemas.openxmlformats.org/officeDocument/2006/relationships/hyperlink" Target="https://scholar.google.com/scholar_lookup?journal=Case+Report+Med&amp;title=Hemophagocytic+Lymphohistiocytosis+Induced+by+Severe+Pandemic+Influenza+A+(H1N1)+2009+Virus+Infection:+A+Case+Report&amp;author=XY+Zhang&amp;author=XW+Ye&amp;author=DX+Feng&amp;author=J+Han&amp;author=D+Li&amp;volume=2011&amp;publication_year=2011&amp;pages=951910&amp;pmid=21559246&amp;" TargetMode="External"/><Relationship Id="rId8" Type="http://schemas.openxmlformats.org/officeDocument/2006/relationships/hyperlink" Target="https://www.ncbi.nlm.nih.gov/pmc/articles/PMC3381605/" TargetMode="External"/><Relationship Id="rId98" Type="http://schemas.openxmlformats.org/officeDocument/2006/relationships/hyperlink" Target="https://www.ncbi.nlm.nih.gov/pmc/articles/PMC3381605/" TargetMode="External"/><Relationship Id="rId121" Type="http://schemas.openxmlformats.org/officeDocument/2006/relationships/hyperlink" Target="https://www.ncbi.nlm.nih.gov/pubmed/11586351" TargetMode="External"/><Relationship Id="rId142" Type="http://schemas.openxmlformats.org/officeDocument/2006/relationships/hyperlink" Target="https://www.ncbi.nlm.nih.gov/pubmed/19625716" TargetMode="External"/><Relationship Id="rId163" Type="http://schemas.openxmlformats.org/officeDocument/2006/relationships/hyperlink" Target="https://www.ncbi.nlm.nih.gov/pubmed/17350452" TargetMode="External"/><Relationship Id="rId184" Type="http://schemas.openxmlformats.org/officeDocument/2006/relationships/hyperlink" Target="https://www.ncbi.nlm.nih.gov/pubmed/18192907" TargetMode="External"/><Relationship Id="rId219" Type="http://schemas.openxmlformats.org/officeDocument/2006/relationships/hyperlink" Target="https://scholar.google.com/scholar_lookup?journal=Lupus&amp;title=Immunomodulating+effects+of+synchronised+plasmapheresis+and+intravenous+bolus+cyclophosphamide+in+systemic+lupus+erythematosus&amp;author=JG+Hanly&amp;author=C+Hong&amp;author=E+Zayed&amp;author=JV+Jones&amp;author=E+Jones&amp;volume=4&amp;issue=6&amp;publication_year=1995&amp;pages=457-463&amp;pmid=8749568&amp;" TargetMode="External"/><Relationship Id="rId230" Type="http://schemas.openxmlformats.org/officeDocument/2006/relationships/hyperlink" Target="https://www.ncbi.nlm.nih.gov/pubmed/14606709" TargetMode="External"/><Relationship Id="rId251" Type="http://schemas.openxmlformats.org/officeDocument/2006/relationships/hyperlink" Target="https://www.ncbi.nlm.nih.gov/pubmed/10648593" TargetMode="External"/><Relationship Id="rId25" Type="http://schemas.openxmlformats.org/officeDocument/2006/relationships/hyperlink" Target="https://www.ncbi.nlm.nih.gov/pmc/articles/PMC3381605/" TargetMode="External"/><Relationship Id="rId46" Type="http://schemas.openxmlformats.org/officeDocument/2006/relationships/hyperlink" Target="https://www.ncbi.nlm.nih.gov/pmc/articles/PMC3381605/" TargetMode="External"/><Relationship Id="rId67" Type="http://schemas.openxmlformats.org/officeDocument/2006/relationships/hyperlink" Target="https://www.ncbi.nlm.nih.gov/pmc/articles/PMC3381605/" TargetMode="External"/><Relationship Id="rId272" Type="http://schemas.openxmlformats.org/officeDocument/2006/relationships/hyperlink" Target="https://www.ncbi.nlm.nih.gov/pubmed/3892220" TargetMode="External"/><Relationship Id="rId293" Type="http://schemas.openxmlformats.org/officeDocument/2006/relationships/hyperlink" Target="https://scholar.google.com/scholar_lookup?journal=Pediatr+Blood+Cancer&amp;title=HLH-2004:+Diagnostic+and+therapeutic+guidelines+for+hemophagocytic+lymphohistiocytosis&amp;author=JI+Henter&amp;author=A+Horne&amp;author=M+Arico&amp;volume=48&amp;issue=2&amp;publication_year=2007&amp;pages=124-131&amp;pmid=16937360&amp;" TargetMode="External"/><Relationship Id="rId307" Type="http://schemas.openxmlformats.org/officeDocument/2006/relationships/hyperlink" Target="https://www.ncbi.nlm.nih.gov/pubmed/21737492" TargetMode="External"/><Relationship Id="rId88" Type="http://schemas.openxmlformats.org/officeDocument/2006/relationships/hyperlink" Target="https://www.ncbi.nlm.nih.gov/pmc/articles/PMC3381605/" TargetMode="External"/><Relationship Id="rId111" Type="http://schemas.openxmlformats.org/officeDocument/2006/relationships/hyperlink" Target="https://www.ncbi.nlm.nih.gov/pubmed/12192020" TargetMode="External"/><Relationship Id="rId132" Type="http://schemas.openxmlformats.org/officeDocument/2006/relationships/hyperlink" Target="https://www.ncbi.nlm.nih.gov/pubmed/15367436" TargetMode="External"/><Relationship Id="rId153" Type="http://schemas.openxmlformats.org/officeDocument/2006/relationships/hyperlink" Target="https://scholar.google.com/scholar_lookup?journal=J+Clin+Apher&amp;title=Intensive+blood+and+plasma+exchange+for+treatment+of+coagulopathy+in+meningococcemia&amp;author=KB+Churchwell&amp;author=ML+McManus&amp;author=P+Kent&amp;volume=10&amp;issue=4&amp;publication_year=1995&amp;pages=171-177&amp;pmid=8770708&amp;" TargetMode="External"/><Relationship Id="rId174" Type="http://schemas.openxmlformats.org/officeDocument/2006/relationships/hyperlink" Target="https://www.ncbi.nlm.nih.gov/pubmed/15951243" TargetMode="External"/><Relationship Id="rId195" Type="http://schemas.openxmlformats.org/officeDocument/2006/relationships/hyperlink" Target="https://www.ncbi.nlm.nih.gov/pmc/articles/PMC3167088/" TargetMode="External"/><Relationship Id="rId209" Type="http://schemas.openxmlformats.org/officeDocument/2006/relationships/hyperlink" Target="https://scholar.google.com/scholar_lookup?journal=Artif+Organs&amp;title=Cyclosporin+A+and+therapeutic+plasma+exchange+in+the+treatment+of+severe+systemic+lupus+erythematosus&amp;author=R+Bambauer&amp;author=U+Schwarze&amp;author=R+Schiel&amp;volume=24&amp;issue=11&amp;publication_year=2000&amp;pages=852-856&amp;pmid=11119071&amp;" TargetMode="External"/><Relationship Id="rId220" Type="http://schemas.openxmlformats.org/officeDocument/2006/relationships/hyperlink" Target="https://www.ncbi.nlm.nih.gov/pubmed/15554419" TargetMode="External"/><Relationship Id="rId241" Type="http://schemas.openxmlformats.org/officeDocument/2006/relationships/hyperlink" Target="https://scholar.google.com/scholar_lookup?journal=Int+J+Artif+Organs&amp;title=A+single+institution%27s+experience+(1982%E2%80%931999)+with+plasma-exchange+therapy+in+patients+with+fulminant+hepatic+failure&amp;author=G+De+Silvestro&amp;author=P+Marson&amp;author=R+Brandolese&amp;author=G+Pittoni&amp;author=G+Ongaro&amp;volume=23&amp;issue=7&amp;publication_year=2000&amp;pages=454-461&amp;pmid=10941639&amp;" TargetMode="External"/><Relationship Id="rId15" Type="http://schemas.openxmlformats.org/officeDocument/2006/relationships/hyperlink" Target="https://www.ncbi.nlm.nih.gov/pmc/articles/PMC3381605/" TargetMode="External"/><Relationship Id="rId36" Type="http://schemas.openxmlformats.org/officeDocument/2006/relationships/hyperlink" Target="https://www.ncbi.nlm.nih.gov/pmc/articles/PMC3381605/" TargetMode="External"/><Relationship Id="rId57" Type="http://schemas.openxmlformats.org/officeDocument/2006/relationships/hyperlink" Target="https://www.ncbi.nlm.nih.gov/pmc/articles/PMC3381605/" TargetMode="External"/><Relationship Id="rId262" Type="http://schemas.openxmlformats.org/officeDocument/2006/relationships/hyperlink" Target="https://scholar.google.com/scholar_lookup?journal=Indian+Pediatr&amp;title=Plasmapheresis+in+childhood+acute+disseminated+encephalomyelitis&amp;author=R+RamachandranNair&amp;author=M+Rafeequ&amp;author=AS+Girija&amp;volume=42&amp;issue=5&amp;publication_year=2005&amp;pages=479-482&amp;pmid=15923696&amp;" TargetMode="External"/><Relationship Id="rId283" Type="http://schemas.openxmlformats.org/officeDocument/2006/relationships/hyperlink" Target="https://scholar.google.com/scholar_lookup?journal=J+Nephrol&amp;title=Rapidly+progressive+glomerulonephritis:+current+and+evolving+treatment+strategies&amp;author=MA+Little&amp;author=CD+Pusey&amp;volume=17&amp;issue=Suppl+8&amp;publication_year=2004&amp;pages=S10-S19&amp;pmid=15599880&amp;" TargetMode="External"/><Relationship Id="rId318" Type="http://schemas.openxmlformats.org/officeDocument/2006/relationships/hyperlink" Target="https://www.ncbi.nlm.nih.gov/pmc/articles/PMC3681377/" TargetMode="External"/><Relationship Id="rId78" Type="http://schemas.openxmlformats.org/officeDocument/2006/relationships/hyperlink" Target="https://www.ncbi.nlm.nih.gov/pmc/articles/PMC3381605/" TargetMode="External"/><Relationship Id="rId99" Type="http://schemas.openxmlformats.org/officeDocument/2006/relationships/hyperlink" Target="https://www.ncbi.nlm.nih.gov/pmc/articles/PMC3381605/" TargetMode="External"/><Relationship Id="rId101" Type="http://schemas.openxmlformats.org/officeDocument/2006/relationships/hyperlink" Target="https://www.ncbi.nlm.nih.gov/pmc/articles/PMC3381605/" TargetMode="External"/><Relationship Id="rId122" Type="http://schemas.openxmlformats.org/officeDocument/2006/relationships/hyperlink" Target="https://scholar.google.com/scholar_lookup?journal=Nature&amp;title=Mutations+in+a+member+of+the+ADAMTS+gene+family+cause+thrombotic+thrombocytopenic+purpura&amp;author=GG+Levy&amp;author=WC+Nichols&amp;author=EC+Lian&amp;volume=413&amp;issue=6855&amp;publication_year=2001&amp;pages=488-494&amp;pmid=11586351&amp;" TargetMode="External"/><Relationship Id="rId143" Type="http://schemas.openxmlformats.org/officeDocument/2006/relationships/hyperlink" Target="https://scholar.google.com/scholar_lookup?journal=N+Engl+J+Med&amp;title=Thrombomodulin+mutations+in+atypical+hemolytic-uremic+syndrome&amp;author=M+Delvaeye&amp;author=M+Noris&amp;author=A+De+Vriese&amp;volume=361&amp;issue=4&amp;publication_year=2009&amp;pages=345-357&amp;pmid=19625716&amp;" TargetMode="External"/><Relationship Id="rId164" Type="http://schemas.openxmlformats.org/officeDocument/2006/relationships/hyperlink" Target="https://scholar.google.com/scholar_lookup?journal=The+Lancet&amp;title=Drotrecogin+alfa+(activated)+in+children+with+severe+sepsis:+a+multicentre+phase+III+randomised+controlled+trial&amp;author=S+Nadel&amp;author=B+Goldstein&amp;author=MD+Williams&amp;volume=369&amp;issue=9564&amp;publication_year=2007&amp;pages=836-843&amp;" TargetMode="External"/><Relationship Id="rId185" Type="http://schemas.openxmlformats.org/officeDocument/2006/relationships/hyperlink" Target="https://scholar.google.com/scholar_lookup?journal=Transplantation&amp;title=Thrombotic+microangiopathy+after+allogeneic+hematopoietic+stem+cell+transplantation:+an+autopsy+study&amp;author=K+Siami&amp;author=K+Kojouri&amp;author=KK+Swisher&amp;author=GB+Selby&amp;author=JN+George&amp;volume=85&amp;issue=1&amp;publication_year=2008&amp;pages=22-28&amp;pmid=18192907&amp;" TargetMode="External"/><Relationship Id="rId9" Type="http://schemas.openxmlformats.org/officeDocument/2006/relationships/hyperlink" Target="https://www.ncbi.nlm.nih.gov/pmc/articles/PMC3381605/" TargetMode="External"/><Relationship Id="rId210" Type="http://schemas.openxmlformats.org/officeDocument/2006/relationships/hyperlink" Target="https://www.ncbi.nlm.nih.gov/pubmed/12918940" TargetMode="External"/><Relationship Id="rId26" Type="http://schemas.openxmlformats.org/officeDocument/2006/relationships/hyperlink" Target="https://www.ncbi.nlm.nih.gov/pmc/articles/PMC3381605/" TargetMode="External"/><Relationship Id="rId231" Type="http://schemas.openxmlformats.org/officeDocument/2006/relationships/hyperlink" Target="https://scholar.google.com/scholar_lookup?journal=Intern+Med&amp;title=Bridging+use+of+plasma+exchange+and+continuous+hemodiafiltration+before+living+donor+liver+transplantation+in+fulminant+Wilson%27s+disease&amp;author=Y+Nagata&amp;author=H+Uto&amp;author=S+Hasuike&amp;volume=42&amp;issue=10&amp;publication_year=2003&amp;pages=967-970&amp;pmid=14606709&amp;" TargetMode="External"/><Relationship Id="rId252" Type="http://schemas.openxmlformats.org/officeDocument/2006/relationships/hyperlink" Target="https://scholar.google.com/scholar_lookup?journal=Liver+Transpl&amp;title=Liver+transplantation.+American+Association+for+the+Study+of+Liver+Diseases&amp;author=RL+Carithers&amp;volume=6&amp;issue=1&amp;publication_year=2000&amp;pages=122-135&amp;pmid=10648593&amp;" TargetMode="External"/><Relationship Id="rId273" Type="http://schemas.openxmlformats.org/officeDocument/2006/relationships/hyperlink" Target="https://scholar.google.com/scholar_lookup?journal=Medicine+(Baltimore)&amp;title=Therapy+of+anti-glomerular+basement+membrane+antibody+disease:+analysis+of+prognostic+significance+of+clinical,+pathologic+and+treatment+factors&amp;author=JP+Johnson&amp;author=J+Moore&amp;author=HA+Austin&amp;author=JE+Balow&amp;author=TT+Antonovych&amp;volume=64&amp;issue=4&amp;publication_year=1985&amp;pages=219-227&amp;pmid=3892220&amp;" TargetMode="External"/><Relationship Id="rId294" Type="http://schemas.openxmlformats.org/officeDocument/2006/relationships/hyperlink" Target="https://www.ncbi.nlm.nih.gov/pmc/articles/PMC3204727/" TargetMode="External"/><Relationship Id="rId308" Type="http://schemas.openxmlformats.org/officeDocument/2006/relationships/hyperlink" Target="https://scholar.google.com/scholar_lookup?journal=Chest&amp;title=Hemophagocytic+lymphohistiocytosis:+a+potentially+underrecognized+association+with+systemic+inflammatory+response+syndrome,+severe+sepsis,+and+septic+shock+in+adults&amp;author=RA+Raschke&amp;author=R+Garcia-Orr&amp;volume=140&amp;issue=4&amp;publication_year=2011&amp;pages=933-938&amp;pmid=21737492&amp;" TargetMode="External"/><Relationship Id="rId47" Type="http://schemas.openxmlformats.org/officeDocument/2006/relationships/hyperlink" Target="https://www.ncbi.nlm.nih.gov/pmc/articles/PMC3381605/" TargetMode="External"/><Relationship Id="rId68" Type="http://schemas.openxmlformats.org/officeDocument/2006/relationships/hyperlink" Target="https://www.ncbi.nlm.nih.gov/pmc/articles/PMC3381605/" TargetMode="External"/><Relationship Id="rId89" Type="http://schemas.openxmlformats.org/officeDocument/2006/relationships/hyperlink" Target="https://www.ncbi.nlm.nih.gov/pmc/articles/PMC3381605/" TargetMode="External"/><Relationship Id="rId112" Type="http://schemas.openxmlformats.org/officeDocument/2006/relationships/hyperlink" Target="https://scholar.google.com/scholar_lookup?journal=N+Engl+J+Med&amp;title=Thrombotic+microangiopathies&amp;author=JL+Moake&amp;volume=347&amp;issue=8&amp;publication_year=2002&amp;pages=589-600&amp;pmid=12192020&amp;" TargetMode="External"/><Relationship Id="rId133" Type="http://schemas.openxmlformats.org/officeDocument/2006/relationships/hyperlink" Target="https://scholar.google.com/scholar_lookup?journal=Blood&amp;title=Fatal+congenital+thrombotic+thrombocytopenic+purpura+with+apparent+ADAMTS13+inhibitor:+in+vitro+inhibition+of+ADAMTS13+activity+by+hemoglobin&amp;author=JD+Studt&amp;author=JA+Hovinga&amp;author=G+Antoine&amp;volume=105&amp;issue=2&amp;publication_year=2005&amp;pages=542-544&amp;pmid=15367436&amp;" TargetMode="External"/><Relationship Id="rId154" Type="http://schemas.openxmlformats.org/officeDocument/2006/relationships/hyperlink" Target="https://www.ncbi.nlm.nih.gov/pubmed/16680750" TargetMode="External"/><Relationship Id="rId175" Type="http://schemas.openxmlformats.org/officeDocument/2006/relationships/hyperlink" Target="https://scholar.google.com/scholar_lookup?journal=Transfus+Apher+Sci&amp;title=The+role+of+therapeutic+plasma+exchange+in+the+catastrophic+antiphospholipid+syndrome&amp;author=I+Uthman&amp;author=A+Shamseddine&amp;author=A+Taher&amp;volume=33&amp;issue=1&amp;publication_year=2005&amp;pages=11-17&amp;pmid=15951243&amp;" TargetMode="External"/><Relationship Id="rId196" Type="http://schemas.openxmlformats.org/officeDocument/2006/relationships/hyperlink" Target="https://www.ncbi.nlm.nih.gov/pubmed/17868804" TargetMode="External"/><Relationship Id="rId200" Type="http://schemas.openxmlformats.org/officeDocument/2006/relationships/hyperlink" Target="https://www.ncbi.nlm.nih.gov/pubmed/11007689" TargetMode="External"/><Relationship Id="rId16" Type="http://schemas.openxmlformats.org/officeDocument/2006/relationships/hyperlink" Target="https://www.ncbi.nlm.nih.gov/pmc/articles/PMC3381605/" TargetMode="External"/><Relationship Id="rId221" Type="http://schemas.openxmlformats.org/officeDocument/2006/relationships/hyperlink" Target="https://scholar.google.com/scholar_lookup?journal=Metab+Brain+Dis&amp;title=Pathophysiology+and+clinical+features+of+Wilson+disease&amp;author=P+Ferenci&amp;volume=19&amp;issue=3%E2%80%934&amp;publication_year=2004&amp;pages=229-239&amp;pmid=15554419&amp;" TargetMode="External"/><Relationship Id="rId242" Type="http://schemas.openxmlformats.org/officeDocument/2006/relationships/hyperlink" Target="https://www.ncbi.nlm.nih.gov/pmc/articles/PMC1422032/" TargetMode="External"/><Relationship Id="rId263" Type="http://schemas.openxmlformats.org/officeDocument/2006/relationships/hyperlink" Target="https://www.ncbi.nlm.nih.gov/pmc/articles/PMC1742586/" TargetMode="External"/><Relationship Id="rId284" Type="http://schemas.openxmlformats.org/officeDocument/2006/relationships/hyperlink" Target="https://www.ncbi.nlm.nih.gov/pubmed/15018241" TargetMode="External"/><Relationship Id="rId319" Type="http://schemas.openxmlformats.org/officeDocument/2006/relationships/hyperlink" Target="https://www.ncbi.nlm.nih.gov/pubmed/22715953" TargetMode="External"/><Relationship Id="rId37" Type="http://schemas.openxmlformats.org/officeDocument/2006/relationships/hyperlink" Target="https://www.ncbi.nlm.nih.gov/pmc/articles/PMC3381605/" TargetMode="External"/><Relationship Id="rId58" Type="http://schemas.openxmlformats.org/officeDocument/2006/relationships/hyperlink" Target="https://www.ncbi.nlm.nih.gov/pmc/articles/PMC3381605/" TargetMode="External"/><Relationship Id="rId79" Type="http://schemas.openxmlformats.org/officeDocument/2006/relationships/hyperlink" Target="https://www.ncbi.nlm.nih.gov/pmc/articles/PMC3381605/" TargetMode="External"/><Relationship Id="rId102" Type="http://schemas.openxmlformats.org/officeDocument/2006/relationships/hyperlink" Target="https://www.ncbi.nlm.nih.gov/pmc/articles/PMC3381605/" TargetMode="External"/><Relationship Id="rId123" Type="http://schemas.openxmlformats.org/officeDocument/2006/relationships/hyperlink" Target="https://www.ncbi.nlm.nih.gov/pubmed/9828245" TargetMode="External"/><Relationship Id="rId144" Type="http://schemas.openxmlformats.org/officeDocument/2006/relationships/hyperlink" Target="https://www.ncbi.nlm.nih.gov/pubmed/19846853" TargetMode="External"/><Relationship Id="rId90" Type="http://schemas.openxmlformats.org/officeDocument/2006/relationships/hyperlink" Target="https://www.ncbi.nlm.nih.gov/pmc/articles/PMC3381605/" TargetMode="External"/><Relationship Id="rId165" Type="http://schemas.openxmlformats.org/officeDocument/2006/relationships/hyperlink" Target="https://www.ncbi.nlm.nih.gov/pubmed/12892393" TargetMode="External"/><Relationship Id="rId186" Type="http://schemas.openxmlformats.org/officeDocument/2006/relationships/hyperlink" Target="https://www.ncbi.nlm.nih.gov/pubmed/19767787" TargetMode="External"/><Relationship Id="rId211" Type="http://schemas.openxmlformats.org/officeDocument/2006/relationships/hyperlink" Target="https://scholar.google.com/scholar_lookup?journal=Ther+Apher+Dial&amp;title=The+role+of+plasmapheresis+in+the+treatment+of+severe+central+nervous+system+neuropsychiatric+systemic+lupus+erythematosus&amp;author=CM+Neuwelt&amp;volume=7&amp;issue=2&amp;publication_year=2003&amp;pages=173-182&amp;pmid=12918940&amp;" TargetMode="External"/><Relationship Id="rId232" Type="http://schemas.openxmlformats.org/officeDocument/2006/relationships/hyperlink" Target="https://www.ncbi.nlm.nih.gov/pubmed/22447259" TargetMode="External"/><Relationship Id="rId253" Type="http://schemas.openxmlformats.org/officeDocument/2006/relationships/hyperlink" Target="https://www.ncbi.nlm.nih.gov/pubmed/15274200" TargetMode="External"/><Relationship Id="rId274" Type="http://schemas.openxmlformats.org/officeDocument/2006/relationships/hyperlink" Target="https://www.ncbi.nlm.nih.gov/pubmed/11388816" TargetMode="External"/><Relationship Id="rId295" Type="http://schemas.openxmlformats.org/officeDocument/2006/relationships/hyperlink" Target="https://www.ncbi.nlm.nih.gov/pubmed/21828139" TargetMode="External"/><Relationship Id="rId309" Type="http://schemas.openxmlformats.org/officeDocument/2006/relationships/hyperlink" Target="https://www.ncbi.nlm.nih.gov/pubmed/15663552" TargetMode="External"/><Relationship Id="rId27" Type="http://schemas.openxmlformats.org/officeDocument/2006/relationships/hyperlink" Target="https://www.ncbi.nlm.nih.gov/pmc/articles/PMC3381605/" TargetMode="External"/><Relationship Id="rId48" Type="http://schemas.openxmlformats.org/officeDocument/2006/relationships/hyperlink" Target="https://www.ncbi.nlm.nih.gov/pmc/articles/PMC3381605/" TargetMode="External"/><Relationship Id="rId69" Type="http://schemas.openxmlformats.org/officeDocument/2006/relationships/hyperlink" Target="https://www.ncbi.nlm.nih.gov/pmc/articles/PMC3381605/" TargetMode="External"/><Relationship Id="rId113" Type="http://schemas.openxmlformats.org/officeDocument/2006/relationships/hyperlink" Target="https://www.ncbi.nlm.nih.gov/pubmed/2861671" TargetMode="External"/><Relationship Id="rId134" Type="http://schemas.openxmlformats.org/officeDocument/2006/relationships/hyperlink" Target="https://www.ncbi.nlm.nih.gov/pmc/articles/PMC1895236/" TargetMode="External"/><Relationship Id="rId320" Type="http://schemas.openxmlformats.org/officeDocument/2006/relationships/hyperlink" Target="https://scholar.google.com/scholar_lookup?journal=Critical+Care&amp;title=Hyperferritinemia+in+the+critically+ill+child+with+secondary+HLH/sepsis/MODS/MAS:+what+is+the+treatment?&amp;author=D+Demirkol&amp;author=D+Yildizdas&amp;author=B+Bayrakci&amp;volume=16&amp;issue=2&amp;publication_year=2012&amp;pages=R52&amp;pmid=22715953&amp;" TargetMode="External"/><Relationship Id="rId80" Type="http://schemas.openxmlformats.org/officeDocument/2006/relationships/hyperlink" Target="https://www.ncbi.nlm.nih.gov/pmc/articles/PMC3381605/" TargetMode="External"/><Relationship Id="rId155" Type="http://schemas.openxmlformats.org/officeDocument/2006/relationships/hyperlink" Target="https://scholar.google.com/scholar_lookup?journal=Am+J+Hematol&amp;title=Disseminated+intravascular+coagulation+due+to+cytomegalovirus+infection+in+an+immunocompetent+adult+treated+with+plasma+exchange&amp;author=TB+Niewold&amp;author=JB+Bundrick&amp;volume=81&amp;issue=6&amp;publication_year=2006&amp;pages=454-457&amp;pmid=16680750&amp;" TargetMode="External"/><Relationship Id="rId176" Type="http://schemas.openxmlformats.org/officeDocument/2006/relationships/hyperlink" Target="https://www.ncbi.nlm.nih.gov/pubmed/17229640" TargetMode="External"/><Relationship Id="rId197" Type="http://schemas.openxmlformats.org/officeDocument/2006/relationships/hyperlink" Target="https://scholar.google.com/scholar_lookup?journal=J+Am+Coll+Cardiol&amp;title=Two+mechanistic+pathways+for+thienopyridine-associated+thrombotic+thrombocytopenic+purpura:+a+report+from+the+SERF-TTP+Research+Group+and+the+RADAR+Project&amp;author=CL+Bennett&amp;author=B+Kim&amp;author=A+Zakarija&amp;volume=50&amp;issue=12&amp;publication_year=2007&amp;pages=1138-1143&amp;pmid=17868804&amp;" TargetMode="External"/><Relationship Id="rId201" Type="http://schemas.openxmlformats.org/officeDocument/2006/relationships/hyperlink" Target="https://scholar.google.com/scholar_lookup?journal=Am+J+Kidney+Dis&amp;title=Cyclosporine+and+tacrolimus-associated+thrombotic+microangiopathy&amp;author=PT+Pham&amp;author=A+Peng&amp;author=AH+Wilkinson&amp;volume=36&amp;issue=4&amp;publication_year=2000&amp;pages=844-850&amp;pmid=11007689&amp;" TargetMode="External"/><Relationship Id="rId222" Type="http://schemas.openxmlformats.org/officeDocument/2006/relationships/hyperlink" Target="https://www.ncbi.nlm.nih.gov/pubmed/17880018" TargetMode="External"/><Relationship Id="rId243" Type="http://schemas.openxmlformats.org/officeDocument/2006/relationships/hyperlink" Target="https://www.ncbi.nlm.nih.gov/pubmed/11524594" TargetMode="External"/><Relationship Id="rId264" Type="http://schemas.openxmlformats.org/officeDocument/2006/relationships/hyperlink" Target="https://www.ncbi.nlm.nih.gov/pubmed/12566545" TargetMode="External"/><Relationship Id="rId285" Type="http://schemas.openxmlformats.org/officeDocument/2006/relationships/hyperlink" Target="https://scholar.google.com/scholar_lookup?journal=Ther+Apher+Dial&amp;title=Plasma+exchange+treatment+improves+prognosis+of+antineutrophil+cytoplasmic+antibody-associated+crescentic+glomerulonephritis:+a+case-control+study+in+26+patients+from+a+single+center&amp;author=GM+Frasca&amp;author=ML+Soverini&amp;author=A+Falaschini&amp;author=E+Tampieri&amp;author=A+Vangelista&amp;volume=7&amp;issue=6&amp;publication_year=2003&amp;pages=540-546&amp;pmid=15018241&amp;" TargetMode="External"/><Relationship Id="rId17" Type="http://schemas.openxmlformats.org/officeDocument/2006/relationships/hyperlink" Target="https://www.ncbi.nlm.nih.gov/pmc/articles/PMC3381605/" TargetMode="External"/><Relationship Id="rId38" Type="http://schemas.openxmlformats.org/officeDocument/2006/relationships/hyperlink" Target="https://www.ncbi.nlm.nih.gov/pmc/articles/PMC3381605/" TargetMode="External"/><Relationship Id="rId59" Type="http://schemas.openxmlformats.org/officeDocument/2006/relationships/hyperlink" Target="https://www.ncbi.nlm.nih.gov/pmc/articles/PMC3381605/" TargetMode="External"/><Relationship Id="rId103" Type="http://schemas.openxmlformats.org/officeDocument/2006/relationships/hyperlink" Target="https://www.ncbi.nlm.nih.gov/pmc/articles/PMC3381605/" TargetMode="External"/><Relationship Id="rId124" Type="http://schemas.openxmlformats.org/officeDocument/2006/relationships/hyperlink" Target="https://scholar.google.com/scholar_lookup?journal=N+Engl+J+Med&amp;title=von+Willebrand+factor-cleaving+protease+in+thrombotic+thrombocytopenic+purpura+and+the+hemolytic-uremic+syndrome&amp;author=M+Furlan&amp;author=R+Robles&amp;author=M+Galbusera&amp;volume=339&amp;issue=22&amp;publication_year=1998&amp;pages=1578-1584&amp;pmid=9828245&amp;" TargetMode="External"/><Relationship Id="rId310" Type="http://schemas.openxmlformats.org/officeDocument/2006/relationships/hyperlink" Target="https://scholar.google.com/scholar_lookup?journal=Ther+Apher+Dial&amp;title=A+case+report+of+the+effect+of+plasma+exchange+on+reactive+hemophagocytic+syndrome+associated+with+toxic+shock+syndrome&amp;author=S+Sanada&amp;author=S+Ookawara&amp;author=T+Shindo&amp;author=K+Morino&amp;author=H+Ishikawa&amp;volume=8&amp;issue=6&amp;publication_year=2004&amp;pages=503-506&amp;pmid=15663552&amp;" TargetMode="External"/><Relationship Id="rId70" Type="http://schemas.openxmlformats.org/officeDocument/2006/relationships/hyperlink" Target="https://www.ncbi.nlm.nih.gov/pmc/articles/PMC3381605/" TargetMode="External"/><Relationship Id="rId91" Type="http://schemas.openxmlformats.org/officeDocument/2006/relationships/hyperlink" Target="https://www.ncbi.nlm.nih.gov/pmc/articles/PMC3381605/" TargetMode="External"/><Relationship Id="rId145" Type="http://schemas.openxmlformats.org/officeDocument/2006/relationships/hyperlink" Target="https://scholar.google.com/scholar_lookup?journal=N+Engl+J+Med&amp;title=Atypical+hemolytic-uremic+syndrome&amp;author=M+Noris&amp;author=G+Remuzzi&amp;volume=361&amp;issue=17&amp;publication_year=2009&amp;pages=1676-1687&amp;pmid=19846853&amp;" TargetMode="External"/><Relationship Id="rId166" Type="http://schemas.openxmlformats.org/officeDocument/2006/relationships/hyperlink" Target="https://scholar.google.com/scholar_lookup?journal=Lupus&amp;title=Catastrophic+antiphospholipid+syndrome:+international+consensus+statement+on+classification+criteria+and+treatment+guidelines&amp;author=RA+Asherson&amp;author=R+Cervera&amp;author=PG+de+Groot&amp;volume=12&amp;issue=7&amp;publication_year=2003&amp;pages=530-534&amp;pmid=12892393&amp;" TargetMode="External"/><Relationship Id="rId187" Type="http://schemas.openxmlformats.org/officeDocument/2006/relationships/hyperlink" Target="https://scholar.google.com/scholar_lookup?journal=Bone+Marrow+Transplant&amp;title=Transplantation-associated+thrombotic+microangiopathy:+effect+of+concomitant+GVHD+on+efficacy+of+therapeutic+plasma+exchange&amp;author=GA+Kennedy&amp;author=N+Kearey&amp;author=S+Bleakley&amp;author=J+Butler&amp;author=K+Mudie&amp;volume=45&amp;issue=4&amp;publication_year=2010&amp;pages=699-704&amp;pmid=19767787&amp;" TargetMode="External"/><Relationship Id="rId1" Type="http://schemas.openxmlformats.org/officeDocument/2006/relationships/numbering" Target="numbering.xml"/><Relationship Id="rId212" Type="http://schemas.openxmlformats.org/officeDocument/2006/relationships/hyperlink" Target="https://www.ncbi.nlm.nih.gov/pubmed/2624244" TargetMode="External"/><Relationship Id="rId233" Type="http://schemas.openxmlformats.org/officeDocument/2006/relationships/hyperlink" Target="https://scholar.google.com/scholar_lookup?journal=Semin+Respir+Crit+Care+Med&amp;title=Acute+liver+failure&amp;author=WM+Lee&amp;volume=33&amp;issue=1&amp;publication_year=2012&amp;pages=36-45&amp;pmid=22447259&amp;" TargetMode="External"/><Relationship Id="rId254" Type="http://schemas.openxmlformats.org/officeDocument/2006/relationships/hyperlink" Target="https://scholar.google.com/scholar_lookup?journal=J+Clin+Apher&amp;title=Plasma+exchange+conditioning+for+ABO-incompatible+renal+transplantation&amp;author=JL+Winters&amp;author=JM+Gloor&amp;author=AA+Pineda&amp;author=MD+Stegall&amp;author=SB+Moore&amp;volume=19&amp;issue=2&amp;publication_year=2004&amp;pages=79-85&amp;pmid=15274200&amp;" TargetMode="External"/><Relationship Id="rId28" Type="http://schemas.openxmlformats.org/officeDocument/2006/relationships/hyperlink" Target="https://www.ncbi.nlm.nih.gov/pmc/articles/PMC3381605/" TargetMode="External"/><Relationship Id="rId49" Type="http://schemas.openxmlformats.org/officeDocument/2006/relationships/hyperlink" Target="https://www.ncbi.nlm.nih.gov/pmc/articles/PMC3381605/" TargetMode="External"/><Relationship Id="rId114" Type="http://schemas.openxmlformats.org/officeDocument/2006/relationships/hyperlink" Target="https://scholar.google.com/scholar_lookup?journal=Thromb+Res&amp;title=Immunohistochemistry+of+vascular+lesion+in+thrombotic+thrombocytopenic+purpura,+with+special+reference+to+factor+VIII+related+antigen&amp;author=Y+Asada&amp;author=A+Sumiyoshi&amp;author=T+Hayashi&amp;author=J+Suzumiya&amp;author=K+Kaketani&amp;volume=38&amp;issue=5&amp;publication_year=1985&amp;pages=469-479&amp;pmid=2861671&amp;" TargetMode="External"/><Relationship Id="rId275" Type="http://schemas.openxmlformats.org/officeDocument/2006/relationships/hyperlink" Target="https://scholar.google.com/scholar_lookup?journal=Ann+Intern+Med&amp;title=Long-term+outcome+of+anti-glomerular+basement+membrane+antibody+disease+treated+with+plasma+exchange+and+immunosuppression&amp;author=JB+Levy&amp;author=AN+Turner&amp;author=AJ+Rees&amp;author=CD+Pusey&amp;volume=134&amp;issue=11&amp;publication_year=2001&amp;pages=1033-1042&amp;pmid=11388816&amp;" TargetMode="External"/><Relationship Id="rId296" Type="http://schemas.openxmlformats.org/officeDocument/2006/relationships/hyperlink" Target="https://scholar.google.com/scholar_lookup?journal=Blood&amp;title=How+I+treat+hemophagocytic+lymphohistiocytosis&amp;author=MB+Jordan&amp;author=CE+Allen&amp;author=S+Weitzman&amp;author=AH+Filipovich&amp;author=KL+McClain&amp;volume=118&amp;issue=15&amp;publication_year=2011&amp;pages=4041-4052&amp;pmid=21828139&amp;" TargetMode="External"/><Relationship Id="rId300" Type="http://schemas.openxmlformats.org/officeDocument/2006/relationships/hyperlink" Target="https://scholar.google.com/scholar_lookup?journal=J+Clin+Apher&amp;title=Plasmapheresis+for+the+treatment+of+acute+pancreatitis+induced+by+hemophagocytic+syndrome+related+to+hypertriglyceridemia&amp;author=T+Coman&amp;author=MA+Dalloz&amp;author=N+Coolen&amp;volume=18&amp;issue=3&amp;publication_year=2003&amp;pages=129-131&amp;pmid=14569604&amp;" TargetMode="External"/><Relationship Id="rId60" Type="http://schemas.openxmlformats.org/officeDocument/2006/relationships/hyperlink" Target="https://www.ncbi.nlm.nih.gov/pmc/articles/PMC3381605/" TargetMode="External"/><Relationship Id="rId81" Type="http://schemas.openxmlformats.org/officeDocument/2006/relationships/hyperlink" Target="https://www.ncbi.nlm.nih.gov/pmc/articles/PMC3381605/" TargetMode="External"/><Relationship Id="rId135" Type="http://schemas.openxmlformats.org/officeDocument/2006/relationships/hyperlink" Target="https://www.ncbi.nlm.nih.gov/pubmed/16131569" TargetMode="External"/><Relationship Id="rId156" Type="http://schemas.openxmlformats.org/officeDocument/2006/relationships/hyperlink" Target="https://www.ncbi.nlm.nih.gov/pubmed/12794412" TargetMode="External"/><Relationship Id="rId177" Type="http://schemas.openxmlformats.org/officeDocument/2006/relationships/hyperlink" Target="https://scholar.google.com/scholar_lookup?journal=Haematologica&amp;title=Diagnostic+criteria+for+hematopoietic+stem+cell+transplant-associated+microangiopathy:+results+of+a+consensus+process+by+an+International+Working+Group&amp;author=T+Ruutu&amp;author=G+Barosi&amp;author=RJ+Benjamin&amp;volume=92&amp;issue=1&amp;publication_year=2007&amp;pages=95-100&amp;pmid=17229640&amp;" TargetMode="External"/><Relationship Id="rId198" Type="http://schemas.openxmlformats.org/officeDocument/2006/relationships/hyperlink" Target="https://www.ncbi.nlm.nih.gov/pubmed/11975797" TargetMode="External"/><Relationship Id="rId321" Type="http://schemas.openxmlformats.org/officeDocument/2006/relationships/fontTable" Target="fontTable.xml"/><Relationship Id="rId202" Type="http://schemas.openxmlformats.org/officeDocument/2006/relationships/hyperlink" Target="https://www.ncbi.nlm.nih.gov/pubmed/10870125" TargetMode="External"/><Relationship Id="rId223" Type="http://schemas.openxmlformats.org/officeDocument/2006/relationships/hyperlink" Target="https://scholar.google.com/scholar_lookup?journal=J+Clin+Apher&amp;title=Plasmapheresis+for+hemolytic+crisis+and+impending+acute+liver+failure+in+Wilson+disease&amp;author=S+Asfaha&amp;author=M+Almansori&amp;author=U+Qarni&amp;author=KS+Gutfreund&amp;volume=22&amp;issue=5&amp;publication_year=2007&amp;pages=295-298&amp;pmid=17880018&amp;" TargetMode="External"/><Relationship Id="rId244" Type="http://schemas.openxmlformats.org/officeDocument/2006/relationships/hyperlink" Target="https://scholar.google.com/scholar_lookup?journal=Ann+Surg&amp;title=Role+of+plasmapheresis+in+the+management+of+acute+hepatic+failure+in+children&amp;author=AL+Singer&amp;author=KM+Olthoff&amp;author=H+Kim&amp;author=E+Rand&amp;author=G+Zamir&amp;volume=234&amp;issue=3&amp;publication_year=2001&amp;pages=418-424&amp;pmid=11524594&amp;" TargetMode="External"/><Relationship Id="rId18" Type="http://schemas.openxmlformats.org/officeDocument/2006/relationships/hyperlink" Target="https://www.ncbi.nlm.nih.gov/pmc/articles/PMC3381605/" TargetMode="External"/><Relationship Id="rId39" Type="http://schemas.openxmlformats.org/officeDocument/2006/relationships/hyperlink" Target="https://www.ncbi.nlm.nih.gov/pmc/articles/PMC3381605/" TargetMode="External"/><Relationship Id="rId265" Type="http://schemas.openxmlformats.org/officeDocument/2006/relationships/hyperlink" Target="https://scholar.google.com/scholar_lookup?journal=Postgrad+Med+J&amp;title=Acute+disseminated+encephalomyelitis&amp;author=RK+Garg&amp;volume=79&amp;issue=927&amp;publication_year=2003&amp;pages=11-17&amp;pmid=12566545&amp;" TargetMode="External"/><Relationship Id="rId286" Type="http://schemas.openxmlformats.org/officeDocument/2006/relationships/hyperlink" Target="https://www.ncbi.nlm.nih.gov/pubmed/14655185" TargetMode="External"/><Relationship Id="rId50" Type="http://schemas.openxmlformats.org/officeDocument/2006/relationships/hyperlink" Target="https://www.ncbi.nlm.nih.gov/pmc/articles/PMC3381605/" TargetMode="External"/><Relationship Id="rId104" Type="http://schemas.openxmlformats.org/officeDocument/2006/relationships/hyperlink" Target="https://www.ncbi.nlm.nih.gov/pmc/articles/PMC3381605/" TargetMode="External"/><Relationship Id="rId125" Type="http://schemas.openxmlformats.org/officeDocument/2006/relationships/hyperlink" Target="https://www.ncbi.nlm.nih.gov/pmc/articles/PMC3159001/" TargetMode="External"/><Relationship Id="rId146" Type="http://schemas.openxmlformats.org/officeDocument/2006/relationships/hyperlink" Target="https://www.ncbi.nlm.nih.gov/pubmed/18326881" TargetMode="External"/><Relationship Id="rId167" Type="http://schemas.openxmlformats.org/officeDocument/2006/relationships/hyperlink" Target="https://www.ncbi.nlm.nih.gov/pmc/articles/PMC1755612/" TargetMode="External"/><Relationship Id="rId188" Type="http://schemas.openxmlformats.org/officeDocument/2006/relationships/hyperlink" Target="https://www.ncbi.nlm.nih.gov/pubmed/17382253" TargetMode="External"/><Relationship Id="rId311" Type="http://schemas.openxmlformats.org/officeDocument/2006/relationships/hyperlink" Target="https://www.ncbi.nlm.nih.gov/pubmed/10608726" TargetMode="External"/><Relationship Id="rId71" Type="http://schemas.openxmlformats.org/officeDocument/2006/relationships/hyperlink" Target="https://www.ncbi.nlm.nih.gov/pmc/articles/PMC3381605/" TargetMode="External"/><Relationship Id="rId92" Type="http://schemas.openxmlformats.org/officeDocument/2006/relationships/hyperlink" Target="https://www.ncbi.nlm.nih.gov/pmc/articles/PMC3381605/" TargetMode="External"/><Relationship Id="rId213" Type="http://schemas.openxmlformats.org/officeDocument/2006/relationships/hyperlink" Target="https://scholar.google.com/scholar_lookup?journal=Adv+Exp+Med+Biol&amp;title=Treatment+combining+plasmapheresis+and+pulse+cyclophosphamide+in+severe+systemic+lupus+erythematosus&amp;author=JO+Schroeder&amp;author=HH+Euler&amp;volume=260&amp;publication_year=1989&amp;pages=203-213&amp;pmid=2624244&amp;" TargetMode="External"/><Relationship Id="rId234" Type="http://schemas.openxmlformats.org/officeDocument/2006/relationships/hyperlink" Target="https://www.ncbi.nlm.nih.gov/pubmed/11316173" TargetMode="External"/><Relationship Id="rId2" Type="http://schemas.openxmlformats.org/officeDocument/2006/relationships/styles" Target="styles.xml"/><Relationship Id="rId29" Type="http://schemas.openxmlformats.org/officeDocument/2006/relationships/hyperlink" Target="https://www.ncbi.nlm.nih.gov/pmc/articles/PMC3381605/" TargetMode="External"/><Relationship Id="rId255" Type="http://schemas.openxmlformats.org/officeDocument/2006/relationships/hyperlink" Target="https://www.ncbi.nlm.nih.gov/pubmed/19210321" TargetMode="External"/><Relationship Id="rId276" Type="http://schemas.openxmlformats.org/officeDocument/2006/relationships/hyperlink" Target="https://www.ncbi.nlm.nih.gov/pubmed/6762091" TargetMode="External"/><Relationship Id="rId297" Type="http://schemas.openxmlformats.org/officeDocument/2006/relationships/hyperlink" Target="https://www.ncbi.nlm.nih.gov/pubmed/19325510" TargetMode="External"/><Relationship Id="rId40" Type="http://schemas.openxmlformats.org/officeDocument/2006/relationships/hyperlink" Target="https://www.ncbi.nlm.nih.gov/pmc/articles/PMC3381605/" TargetMode="External"/><Relationship Id="rId115" Type="http://schemas.openxmlformats.org/officeDocument/2006/relationships/hyperlink" Target="https://www.ncbi.nlm.nih.gov/pubmed/15914300" TargetMode="External"/><Relationship Id="rId136" Type="http://schemas.openxmlformats.org/officeDocument/2006/relationships/hyperlink" Target="https://scholar.google.com/scholar_lookup?journal=Blood&amp;title=Hemolytic+uremic+syndrome-associated+Shiga+toxins+promote+endothelial-cell+secretion+and+impair+ADAMTS13+cleavage+of+unusually+large+von+Willebrand+factor+multimers&amp;author=LH+Nolasco&amp;author=NA+Turner&amp;author=A+Bernardo&amp;volume=106&amp;issue=13&amp;publication_year=2005&amp;pages=4199-4209&amp;pmid=16131569&amp;" TargetMode="External"/><Relationship Id="rId157" Type="http://schemas.openxmlformats.org/officeDocument/2006/relationships/hyperlink" Target="https://scholar.google.com/scholar_lookup?journal=Crit+Care+Med&amp;title=Plasma+exchange+as+rescue+therapy+in+multiple+organ+failure+including+acute+renal+failure&amp;author=BG+Stegmayr&amp;author=R+Banga&amp;author=L+Berggren&amp;author=R+Norda&amp;author=A+Rydvall&amp;volume=31&amp;issue=6&amp;publication_year=2003&amp;pages=1730-1736&amp;pmid=12794412&amp;" TargetMode="External"/><Relationship Id="rId178" Type="http://schemas.openxmlformats.org/officeDocument/2006/relationships/hyperlink" Target="https://www.ncbi.nlm.nih.gov/pubmed/16969286" TargetMode="External"/><Relationship Id="rId301" Type="http://schemas.openxmlformats.org/officeDocument/2006/relationships/hyperlink" Target="https://www.ncbi.nlm.nih.gov/pubmed/10068659" TargetMode="External"/><Relationship Id="rId322" Type="http://schemas.openxmlformats.org/officeDocument/2006/relationships/theme" Target="theme/theme1.xml"/><Relationship Id="rId61" Type="http://schemas.openxmlformats.org/officeDocument/2006/relationships/hyperlink" Target="https://www.ncbi.nlm.nih.gov/pmc/articles/PMC3381605/" TargetMode="External"/><Relationship Id="rId82" Type="http://schemas.openxmlformats.org/officeDocument/2006/relationships/hyperlink" Target="https://www.ncbi.nlm.nih.gov/pmc/articles/PMC3381605/" TargetMode="External"/><Relationship Id="rId199" Type="http://schemas.openxmlformats.org/officeDocument/2006/relationships/hyperlink" Target="https://scholar.google.com/scholar_lookup?journal=Heart+Dis&amp;title=Ticlopidine-associated+thrombotic+thrombocytopenic+purpura&amp;author=N+Naseer&amp;author=A+Aijaz&amp;author=MA+Saleem&amp;author=J+Nelson&amp;author=SJ+Peterson&amp;volume=3&amp;issue=4&amp;publication_year=2001&amp;pages=221-223&amp;pmid=11975797&amp;" TargetMode="External"/><Relationship Id="rId203" Type="http://schemas.openxmlformats.org/officeDocument/2006/relationships/hyperlink" Target="https://scholar.google.com/scholar_lookup?journal=Haematologica&amp;title=Tacrolimus+(FK+506)+induced+thrombotic+thrombocytopenic+purpura+after+ABO+mismatched+second+liver+transplantation:+salvage+with+plasmapheresis+and+prostacyclin&amp;author=WY+Au&amp;author=AK+Lie&amp;author=CC+Lam&amp;volume=85&amp;issue=6&amp;publication_year=2000&amp;pages=659-662&amp;pmid=10870125&amp;" TargetMode="External"/><Relationship Id="rId19" Type="http://schemas.openxmlformats.org/officeDocument/2006/relationships/hyperlink" Target="https://www.ncbi.nlm.nih.gov/pmc/articles/PMC3381605/" TargetMode="External"/><Relationship Id="rId224" Type="http://schemas.openxmlformats.org/officeDocument/2006/relationships/hyperlink" Target="https://www.ncbi.nlm.nih.gov/pubmed/19156772" TargetMode="External"/><Relationship Id="rId245" Type="http://schemas.openxmlformats.org/officeDocument/2006/relationships/hyperlink" Target="https://www.ncbi.nlm.nih.gov/pubmed/11532188" TargetMode="External"/><Relationship Id="rId266" Type="http://schemas.openxmlformats.org/officeDocument/2006/relationships/hyperlink" Target="https://www.ncbi.nlm.nih.gov/pubmed/18331814" TargetMode="External"/><Relationship Id="rId287" Type="http://schemas.openxmlformats.org/officeDocument/2006/relationships/hyperlink" Target="https://scholar.google.com/scholar_lookup?journal=Am+J+Kidney+Dis&amp;title=Plasmapheresis+therapy+for+diffuse+alveolar+hemorrhage+in+patients+with+small-vessel+vasculitis&amp;author=PJ+Klemmer&amp;author=W+Chalermskulrat&amp;author=MS+Reif&amp;author=SL+Hogan&amp;author=DC+Henke&amp;volume=42&amp;issue=6&amp;publication_year=2003&amp;pages=1149-1153&amp;pmid=14655185&amp;" TargetMode="External"/><Relationship Id="rId30" Type="http://schemas.openxmlformats.org/officeDocument/2006/relationships/hyperlink" Target="https://www.ncbi.nlm.nih.gov/pmc/articles/PMC3381605/" TargetMode="External"/><Relationship Id="rId105" Type="http://schemas.openxmlformats.org/officeDocument/2006/relationships/hyperlink" Target="https://www.ncbi.nlm.nih.gov/pmc/articles/PMC3381605/" TargetMode="External"/><Relationship Id="rId126" Type="http://schemas.openxmlformats.org/officeDocument/2006/relationships/hyperlink" Target="https://www.ncbi.nlm.nih.gov/pubmed/9828246" TargetMode="External"/><Relationship Id="rId147" Type="http://schemas.openxmlformats.org/officeDocument/2006/relationships/hyperlink" Target="https://scholar.google.com/scholar_lookup?journal=Nephrol+Dial+Transplant&amp;title=Successful+pre-transplant+management+of+a+patient+with+anti-factor+H+autoantibodies-associated+haemolytic+uraemic+syndrome&amp;author=T+Kwon&amp;author=MA+Dragon-Durey&amp;author=MA+Macher&amp;volume=23&amp;issue=6&amp;publication_year=2008&amp;pages=2088-2090&amp;pmid=18326881&amp;" TargetMode="External"/><Relationship Id="rId168" Type="http://schemas.openxmlformats.org/officeDocument/2006/relationships/hyperlink" Target="https://www.ncbi.nlm.nih.gov/pubmed/15708888" TargetMode="External"/><Relationship Id="rId312" Type="http://schemas.openxmlformats.org/officeDocument/2006/relationships/hyperlink" Target="https://scholar.google.com/scholar_lookup?journal=Ther+Apher&amp;title=Effect+of+plasma+exchange+on+refractory+hemophagocytic+syndrome+complicated+with+myelodysplastic+syndrome&amp;author=A+Satomi&amp;author=S+Nagai&amp;author=T+Nagai&amp;volume=3&amp;issue=4&amp;publication_year=1999&amp;pages=317-319&amp;pmid=10608726&amp;" TargetMode="External"/><Relationship Id="rId51" Type="http://schemas.openxmlformats.org/officeDocument/2006/relationships/hyperlink" Target="https://www.ncbi.nlm.nih.gov/pmc/articles/PMC3381605/" TargetMode="External"/><Relationship Id="rId72" Type="http://schemas.openxmlformats.org/officeDocument/2006/relationships/hyperlink" Target="https://www.ncbi.nlm.nih.gov/pmc/articles/PMC3381605/" TargetMode="External"/><Relationship Id="rId93" Type="http://schemas.openxmlformats.org/officeDocument/2006/relationships/hyperlink" Target="https://www.ncbi.nlm.nih.gov/pmc/articles/PMC3381605/" TargetMode="External"/><Relationship Id="rId189" Type="http://schemas.openxmlformats.org/officeDocument/2006/relationships/hyperlink" Target="https://scholar.google.com/scholar_lookup?journal=Biol+Blood+Marrow+Transplant&amp;title=Transplant-associated+microangiopathy+in+patients+receiving+tacrolimus+following+allogeneic+stem+cell+transplantation:+risk+factors+and+response+to+treatment&amp;author=B+Oran&amp;author=M+Donato&amp;author=A+Aleman&amp;volume=13&amp;issue=4&amp;publication_year=2007&amp;pages=469-477&amp;pmid=17382253&amp;" TargetMode="External"/><Relationship Id="rId3" Type="http://schemas.openxmlformats.org/officeDocument/2006/relationships/settings" Target="settings.xml"/><Relationship Id="rId214" Type="http://schemas.openxmlformats.org/officeDocument/2006/relationships/hyperlink" Target="https://www.ncbi.nlm.nih.gov/pubmed/17377738" TargetMode="External"/><Relationship Id="rId235" Type="http://schemas.openxmlformats.org/officeDocument/2006/relationships/hyperlink" Target="https://scholar.google.com/scholar_lookup?journal=Am+J+Gastroenterol&amp;title=Effects+of+high-volume+plasmapheresis+on+ammonia,+urea,+and+amino+acids+in+patients+with+acute+liver+failure&amp;author=JO+Clemmesen&amp;author=J+Kondrup&amp;author=LB+Nielsen&amp;author=FS+Larsen&amp;author=P+Ott&amp;volume=96&amp;issue=4&amp;publication_year=2001&amp;pages=1217-1223&amp;pmid=11316173&amp;" TargetMode="External"/><Relationship Id="rId256" Type="http://schemas.openxmlformats.org/officeDocument/2006/relationships/hyperlink" Target="https://scholar.google.com/scholar_lookup?journal=Transfusion&amp;title=Therapeutic+plasma+exchange+reduces+ABO+titers+to+permit+ABO-incompatible+renal+transplantation&amp;author=AA+Tobian&amp;author=RS+Shirey&amp;author=RA+Montgomery&amp;author=DJ+Tisch&amp;author=PM+Ness&amp;volume=49&amp;issue=6&amp;publication_year=2009&amp;pages=1248-1254&amp;pmid=19210321&amp;" TargetMode="External"/><Relationship Id="rId277" Type="http://schemas.openxmlformats.org/officeDocument/2006/relationships/hyperlink" Target="https://scholar.google.com/scholar_lookup?journal=Am+J+Nephrol&amp;title=Plasma+exchange+in+Goodpasture%27s+syndrome&amp;author=IJ+Simpson&amp;author=PB+Doak&amp;author=LC+Williams&amp;volume=2&amp;issue=6&amp;publication_year=1982&amp;pages=301-311&amp;pmid=6762091&amp;" TargetMode="External"/><Relationship Id="rId298" Type="http://schemas.openxmlformats.org/officeDocument/2006/relationships/hyperlink" Target="https://scholar.google.com/scholar_lookup?journal=Pediatr+Crit+Care+Med&amp;title=Secondary+hemophagocytic+lymphohistiocytosis+and+severe+sepsis/+systemic+inflammatory+response+syndrome/multiorgan+dysfunction+syndrome/macrophage+activation+syndrome+share+common+intermediate+phenotypes+on+a+spectrum+of+inflammation&amp;author=L+Castillo&amp;author=J+Carcillo&amp;volume=10&amp;issue=3&amp;publication_year=2009&amp;pages=387-392&amp;pmid=19325510&amp;" TargetMode="External"/><Relationship Id="rId116" Type="http://schemas.openxmlformats.org/officeDocument/2006/relationships/hyperlink" Target="https://scholar.google.com/scholar_lookup?journal=Cardiovasc+Pathol&amp;title=Thrombotic+thrombocytopenic+purpura+causing+rapid+unexpected+death:+value+of+CD61+immunohistochemical+staining+in+diagnosis&amp;author=AP+Burke&amp;author=E+Mont&amp;author=F+Kolodgie&amp;author=R+Virmani&amp;volume=14&amp;issue=3&amp;publication_year=2005&amp;pages=150-155&amp;pmid=15914300&amp;" TargetMode="External"/><Relationship Id="rId137" Type="http://schemas.openxmlformats.org/officeDocument/2006/relationships/hyperlink" Target="https://www.ncbi.nlm.nih.gov/pubmed/16189276" TargetMode="External"/><Relationship Id="rId158" Type="http://schemas.openxmlformats.org/officeDocument/2006/relationships/hyperlink" Target="https://www.ncbi.nlm.nih.gov/pubmed/9564476" TargetMode="External"/><Relationship Id="rId302" Type="http://schemas.openxmlformats.org/officeDocument/2006/relationships/hyperlink" Target="https://scholar.google.com/scholar_lookup?journal=Blood&amp;title=Effective+control+of+Epstein-Barr+virus-related+hemophagocytic+lymphohistiocytosis+with+immunochemotherapy.+Histiocyte+Society&amp;author=S+Imashuku&amp;author=S+Hibi&amp;author=T+Ohara&amp;volume=93&amp;issue=6&amp;publication_year=1999&amp;pages=1869-1874&amp;pmid=10068659&amp;" TargetMode="External"/><Relationship Id="rId20" Type="http://schemas.openxmlformats.org/officeDocument/2006/relationships/hyperlink" Target="https://www.ncbi.nlm.nih.gov/pmc/articles/PMC3381605/" TargetMode="External"/><Relationship Id="rId41" Type="http://schemas.openxmlformats.org/officeDocument/2006/relationships/hyperlink" Target="https://www.ncbi.nlm.nih.gov/pmc/articles/PMC3381605/" TargetMode="External"/><Relationship Id="rId62" Type="http://schemas.openxmlformats.org/officeDocument/2006/relationships/hyperlink" Target="https://www.ncbi.nlm.nih.gov/pmc/articles/PMC3381605/" TargetMode="External"/><Relationship Id="rId83" Type="http://schemas.openxmlformats.org/officeDocument/2006/relationships/hyperlink" Target="https://www.ncbi.nlm.nih.gov/pmc/articles/PMC3381605/" TargetMode="External"/><Relationship Id="rId179" Type="http://schemas.openxmlformats.org/officeDocument/2006/relationships/hyperlink" Target="https://scholar.google.com/scholar_lookup?journal=Transplantation&amp;title=Risk+factors+and+severe+outcome+in+thrombotic+microangiopathy+after+allogeneic+hematopoietic+stem+cell+transplantation&amp;author=C+Uderzo&amp;author=S+Bonanomi&amp;author=A+Busca&amp;volume=82&amp;issue=5&amp;publication_year=2006&amp;pages=638-644&amp;pmid=16969286&amp;" TargetMode="External"/><Relationship Id="rId190" Type="http://schemas.openxmlformats.org/officeDocument/2006/relationships/hyperlink" Target="https://www.ncbi.nlm.nih.gov/pubmed/12918953" TargetMode="External"/><Relationship Id="rId204" Type="http://schemas.openxmlformats.org/officeDocument/2006/relationships/hyperlink" Target="https://www.ncbi.nlm.nih.gov/pubmed/16247749" TargetMode="External"/><Relationship Id="rId225" Type="http://schemas.openxmlformats.org/officeDocument/2006/relationships/hyperlink" Target="https://scholar.google.com/scholar_lookup?journal=J+Clin+Apher&amp;title=Clinical+improvement+of+a+patient+with+severe+Wilson%27s+disease+after+a+single+session+of+therapeutic+plasma+exchange&amp;author=M+Hursitoglu&amp;author=O+Kara&amp;author=MA+Cikrikcioglu&amp;author=T+Celepkulu&amp;author=S+Aydin&amp;volume=24&amp;issue=1&amp;publication_year=2009&amp;pages=25-27&amp;pmid=19156772&amp;" TargetMode="External"/><Relationship Id="rId246" Type="http://schemas.openxmlformats.org/officeDocument/2006/relationships/hyperlink" Target="https://scholar.google.com/scholar_lookup?journal=Transfus+Med&amp;title=ABO-incompatibility+in+solid+organ+transplantation&amp;author=L+Rydberg&amp;volume=11&amp;issue=4&amp;publication_year=2001&amp;pages=325-342&amp;pmid=11532188&amp;" TargetMode="External"/><Relationship Id="rId267" Type="http://schemas.openxmlformats.org/officeDocument/2006/relationships/hyperlink" Target="https://scholar.google.com/scholar_lookup?journal=Transfus+Apher+Sci&amp;title=Therapeutic+plasma+exchange+in+patients+with+neurologic+diseases:+retrospective+multicenter+study&amp;author=L+Kaynar&amp;author=F+Altuntas&amp;author=I+Aydogdu&amp;volume=38&amp;issue=2&amp;publication_year=2008&amp;pages=109-115&amp;pmid=18331814&amp;" TargetMode="External"/><Relationship Id="rId288" Type="http://schemas.openxmlformats.org/officeDocument/2006/relationships/hyperlink" Target="https://www.ncbi.nlm.nih.gov/pubmed/16825335" TargetMode="External"/><Relationship Id="rId106" Type="http://schemas.openxmlformats.org/officeDocument/2006/relationships/hyperlink" Target="https://www.ncbi.nlm.nih.gov/pmc/articles/PMC3381605/" TargetMode="External"/><Relationship Id="rId127" Type="http://schemas.openxmlformats.org/officeDocument/2006/relationships/hyperlink" Target="https://scholar.google.com/scholar_lookup?journal=N+Engl+J+Med&amp;title=Antibodies+to+von+Willebrand+factor-cleaving+protease+in+acute+thrombotic+thrombocytopenic+purpura&amp;author=HM+Tsai&amp;author=EC+Lian&amp;volume=339&amp;issue=22&amp;publication_year=1998&amp;pages=1585-1594&amp;pmid=9828246&amp;" TargetMode="External"/><Relationship Id="rId313" Type="http://schemas.openxmlformats.org/officeDocument/2006/relationships/hyperlink" Target="https://www.ncbi.nlm.nih.gov/pubmed/16556142" TargetMode="External"/><Relationship Id="rId10" Type="http://schemas.openxmlformats.org/officeDocument/2006/relationships/hyperlink" Target="https://www.ncbi.nlm.nih.gov/pmc/articles/PMC3381605/" TargetMode="External"/><Relationship Id="rId31" Type="http://schemas.openxmlformats.org/officeDocument/2006/relationships/hyperlink" Target="https://www.ncbi.nlm.nih.gov/pmc/articles/PMC3381605/" TargetMode="External"/><Relationship Id="rId52" Type="http://schemas.openxmlformats.org/officeDocument/2006/relationships/hyperlink" Target="https://www.ncbi.nlm.nih.gov/pmc/articles/PMC3381605/" TargetMode="External"/><Relationship Id="rId73" Type="http://schemas.openxmlformats.org/officeDocument/2006/relationships/hyperlink" Target="https://www.ncbi.nlm.nih.gov/pmc/articles/PMC3381605/" TargetMode="External"/><Relationship Id="rId94" Type="http://schemas.openxmlformats.org/officeDocument/2006/relationships/hyperlink" Target="https://www.ncbi.nlm.nih.gov/pmc/articles/PMC3381605/" TargetMode="External"/><Relationship Id="rId148" Type="http://schemas.openxmlformats.org/officeDocument/2006/relationships/hyperlink" Target="https://www.ncbi.nlm.nih.gov/pubmed/10451465" TargetMode="External"/><Relationship Id="rId169" Type="http://schemas.openxmlformats.org/officeDocument/2006/relationships/hyperlink" Target="https://scholar.google.com/scholar_lookup?journal=Ann+Rheum+Dis&amp;title=Validation+of+the+preliminary+criteria+for+the+classification+of+catastrophic+antiphospholipid+syndrome&amp;author=R+Cervera&amp;author=J+Font&amp;author=JA+Gomez-Puerta&amp;volume=64&amp;issue=8&amp;publication_year=2005&amp;pages=1205-1209&amp;pmid=15708888&amp;" TargetMode="External"/><Relationship Id="rId4" Type="http://schemas.openxmlformats.org/officeDocument/2006/relationships/webSettings" Target="webSettings.xml"/><Relationship Id="rId180" Type="http://schemas.openxmlformats.org/officeDocument/2006/relationships/hyperlink" Target="https://www.ncbi.nlm.nih.gov/pubmed/14962323" TargetMode="External"/><Relationship Id="rId215" Type="http://schemas.openxmlformats.org/officeDocument/2006/relationships/hyperlink" Target="https://scholar.google.com/scholar_lookup?journal=Clin+Rheumatol&amp;title=Diffuse+alveolar+hemorrhage+in+Colombian+patients+with+systemic+lupus+erythematosus&amp;author=C+Canas&amp;author=GJ+Tobon&amp;author=M+Granados&amp;author=L+Fernandez&amp;volume=26&amp;issue=11&amp;publication_year=2007&amp;pages=1947-1949&amp;pmid=17377738&amp;" TargetMode="External"/><Relationship Id="rId236" Type="http://schemas.openxmlformats.org/officeDocument/2006/relationships/hyperlink" Target="https://www.ncbi.nlm.nih.gov/pubmed/22041164" TargetMode="External"/><Relationship Id="rId257" Type="http://schemas.openxmlformats.org/officeDocument/2006/relationships/hyperlink" Target="https://www.ncbi.nlm.nih.gov/pubmed/16061599" TargetMode="External"/><Relationship Id="rId278" Type="http://schemas.openxmlformats.org/officeDocument/2006/relationships/hyperlink" Target="https://www.ncbi.nlm.nih.gov/pubmed/17505257" TargetMode="External"/><Relationship Id="rId303" Type="http://schemas.openxmlformats.org/officeDocument/2006/relationships/hyperlink" Target="https://www.ncbi.nlm.nih.gov/pubmed/7115950" TargetMode="External"/><Relationship Id="rId42" Type="http://schemas.openxmlformats.org/officeDocument/2006/relationships/hyperlink" Target="https://www.ncbi.nlm.nih.gov/pmc/articles/PMC3381605/" TargetMode="External"/><Relationship Id="rId84" Type="http://schemas.openxmlformats.org/officeDocument/2006/relationships/hyperlink" Target="https://www.ncbi.nlm.nih.gov/pmc/articles/PMC3381605/" TargetMode="External"/><Relationship Id="rId138" Type="http://schemas.openxmlformats.org/officeDocument/2006/relationships/hyperlink" Target="https://scholar.google.com/scholar_lookup?journal=Blood&amp;title=Severe+secondary+deficiency+of+von+Willebrand+factor-cleaving+protease+(ADAMTS13)+in+patients+with+sepsis-induced+disseminated+intravascular+coagulation:+its+correlation+with+development+of+renal+failure&amp;author=T+Ono&amp;author=J+Mimuro&amp;author=S+Madoiwa&amp;volume=107&amp;issue=2&amp;publication_year=2006&amp;pages=528-534&amp;pmid=16189276&amp;" TargetMode="External"/><Relationship Id="rId191" Type="http://schemas.openxmlformats.org/officeDocument/2006/relationships/hyperlink" Target="https://scholar.google.com/scholar_lookup?journal=Ther+Apher+Dial&amp;title=Therapeutic+plasma+exchange+in+patients+with+grade+2%E2%80%933+hematopoietic+stem+cell+transplantation-associated+thrombotic+thrombocytopenic+purpura:+a+ten-year+experience&amp;author=F+Christidou&amp;author=A+Athanasiadou&amp;author=P+Kalogiannidis&amp;volume=7&amp;issue=2&amp;publication_year=2003&amp;pages=259-262&amp;pmid=12918953&amp;" TargetMode="External"/><Relationship Id="rId205" Type="http://schemas.openxmlformats.org/officeDocument/2006/relationships/hyperlink" Target="https://scholar.google.com/scholar_lookup?journal=Am+J+Hematol&amp;title=Thrombotic+thrombocytopenic+purpura+induced+by+cyclosporin+a+after+allogeneic+bone+marrow+transplantation+treated+by+red+blood+cell+exchange+transfusion:+a+case+report&amp;author=S+Gupta&amp;author=N+Ttan&amp;author=D+Topolsky&amp;volume=80&amp;issue=3&amp;publication_year=2005&amp;pages=246-247&amp;pmid=16247749&amp;" TargetMode="External"/><Relationship Id="rId247" Type="http://schemas.openxmlformats.org/officeDocument/2006/relationships/hyperlink" Target="https://www.ncbi.nlm.nih.gov/pubmed/18021280" TargetMode="External"/><Relationship Id="rId107" Type="http://schemas.openxmlformats.org/officeDocument/2006/relationships/hyperlink" Target="https://www.ncbi.nlm.nih.gov/pmc/articles/PMC3381605/" TargetMode="External"/><Relationship Id="rId289" Type="http://schemas.openxmlformats.org/officeDocument/2006/relationships/hyperlink" Target="https://scholar.google.com/scholar_lookup?journal=J+Am+Soc+Nephrol&amp;title=Clinical+and+histologic+determinants+of+renal+outcome+in+ANCA-associated+vasculitis:+A+prospective+analysis+of+100+patients+with+severe+renal+involvement&amp;author=RA+de+Lind+van+Wijngaarden&amp;author=HA+Hauer&amp;author=R+Wolterbeek&amp;volume=17&amp;issue=8&amp;publication_year=2006&amp;pages=2264-2274&amp;pmid=16825335&amp;" TargetMode="External"/><Relationship Id="rId11" Type="http://schemas.openxmlformats.org/officeDocument/2006/relationships/hyperlink" Target="https://www.ncbi.nlm.nih.gov/pmc/articles/PMC3381605/" TargetMode="External"/><Relationship Id="rId53" Type="http://schemas.openxmlformats.org/officeDocument/2006/relationships/hyperlink" Target="https://www.ncbi.nlm.nih.gov/pmc/articles/PMC3381605/" TargetMode="External"/><Relationship Id="rId149" Type="http://schemas.openxmlformats.org/officeDocument/2006/relationships/hyperlink" Target="https://scholar.google.com/scholar_lookup?journal=N+Engl+J+Med&amp;title=Disseminated+intravascular+coagulation&amp;author=M+Levi&amp;author=H+Ten+Cate&amp;volume=341&amp;issue=8&amp;publication_year=1999&amp;pages=586-592&amp;pmid=10451465&amp;" TargetMode="External"/><Relationship Id="rId314" Type="http://schemas.openxmlformats.org/officeDocument/2006/relationships/hyperlink" Target="https://scholar.google.com/scholar_lookup?journal=Ther+Apher+Dial&amp;title=Effect+of+plasma+exchange+on+the+circulating+IL-6+levels+in+a+patient+with+fatal+hemophagocytic+syndrome+associated+with+bile+ductopenia&amp;author=KS+Song&amp;author=HJ+Sung&amp;volume=10&amp;issue=1&amp;publication_year=2006&amp;pages=87-89&amp;pmid=16556142&amp;" TargetMode="External"/><Relationship Id="rId95" Type="http://schemas.openxmlformats.org/officeDocument/2006/relationships/hyperlink" Target="https://www.ncbi.nlm.nih.gov/pmc/articles/PMC3381605/" TargetMode="External"/><Relationship Id="rId160" Type="http://schemas.openxmlformats.org/officeDocument/2006/relationships/hyperlink" Target="https://www.ncbi.nlm.nih.gov/pmc/articles/PMC2772176/" TargetMode="External"/><Relationship Id="rId216" Type="http://schemas.openxmlformats.org/officeDocument/2006/relationships/hyperlink" Target="https://www.ncbi.nlm.nih.gov/pubmed/6129368" TargetMode="External"/><Relationship Id="rId258" Type="http://schemas.openxmlformats.org/officeDocument/2006/relationships/hyperlink" Target="https://scholar.google.com/scholar_lookup?journal=Pediatrics&amp;title=Acute+disseminated+encephalomyelitis+in+children:+discordant+neurologic+and+neuroimaging+abnormalities+and+response+to+plasmapheresis&amp;author=DS+Khurana&amp;author=JJ+Melvin&amp;author=SV+Kothare&amp;volume=116&amp;issue=2&amp;publication_year=2005&amp;pages=431-436&amp;pmid=16061599&amp;" TargetMode="External"/><Relationship Id="rId22" Type="http://schemas.openxmlformats.org/officeDocument/2006/relationships/hyperlink" Target="https://www.ncbi.nlm.nih.gov/pmc/articles/PMC3381605/" TargetMode="External"/><Relationship Id="rId64" Type="http://schemas.openxmlformats.org/officeDocument/2006/relationships/hyperlink" Target="https://www.ncbi.nlm.nih.gov/pmc/articles/PMC3381605/" TargetMode="External"/><Relationship Id="rId118" Type="http://schemas.openxmlformats.org/officeDocument/2006/relationships/hyperlink" Target="https://scholar.google.com/scholar_lookup?journal=Arch+Pathol+Lab+Med&amp;title=Thrombotic+thrombocytopenic+purpura+and+hemolytic+uremic+syndrome+are+distinct+pathologic+entities.+A+review+of+56+autopsy+cases&amp;author=GA+Hosler&amp;author=AM+Cusumano&amp;author=GM+Hutchins&amp;volume=127&amp;issue=7&amp;publication_year=2003&amp;pages=834-839&amp;pmid=12823037&amp;" TargetMode="External"/><Relationship Id="rId171" Type="http://schemas.openxmlformats.org/officeDocument/2006/relationships/hyperlink" Target="https://scholar.google.com/scholar_lookup?journal=J+Clin+Apher&amp;title=Therapeutic+plasma+exchange+for+the+acute+management+of+the+catastrophic+antiphospholipid+syndrome:+beta(2)-glycoprotein+I+antibodies+as+a+marker+of+response+to+therapy&amp;author=R+Flamholz&amp;author=T+Tran&amp;author=GI+Grad&amp;volume=14&amp;issue=4&amp;publication_year=1999&amp;pages=171-176&amp;pmid=10611626&amp;" TargetMode="External"/><Relationship Id="rId227" Type="http://schemas.openxmlformats.org/officeDocument/2006/relationships/hyperlink" Target="https://scholar.google.com/scholar_lookup?journal=J+Clin+Apher&amp;title=Therapeutic+plasmapheresis+as+a+bridge+to+liver+transplantation+in+fulminant+Wilson+disease&amp;author=JS+Jhang&amp;author=ML+Schilsky&amp;author=JH+Lefkowitch&amp;author=J+Schwartz&amp;volume=22&amp;issue=1&amp;publication_year=2007&amp;pages=10-14&amp;pmid=17285615&amp;" TargetMode="External"/><Relationship Id="rId269" Type="http://schemas.openxmlformats.org/officeDocument/2006/relationships/hyperlink" Target="https://scholar.google.com/scholar_lookup?journal=Neurology&amp;title=Plasma+exchange+for+severe+attacks+of+CNS+demyelination:+predictors+of+response&amp;author=M+Keegan&amp;author=AA+Pineda&amp;author=RL+McClelland&amp;author=CH+Darby&amp;author=M+Rodriguez&amp;volume=58&amp;issue=1&amp;publication_year=2002&amp;pages=143-146&amp;pmid=11781423&amp;" TargetMode="External"/><Relationship Id="rId33" Type="http://schemas.openxmlformats.org/officeDocument/2006/relationships/hyperlink" Target="https://www.ncbi.nlm.nih.gov/pmc/articles/PMC3381605/" TargetMode="External"/><Relationship Id="rId129" Type="http://schemas.openxmlformats.org/officeDocument/2006/relationships/hyperlink" Target="https://scholar.google.com/scholar_lookup?journal=Blood&amp;title=Effects+of+inflammatory+cytokines+on+the+release+and+cleavage+of+the+endothelial+cell-derived+ultralarge+von+Willebrand+factor+multimers+under+flow&amp;author=A+Bernardo&amp;author=C+Ball&amp;author=L+Nolasco&amp;author=JF+Moake&amp;author=JF+Dong&amp;volume=104&amp;issue=1&amp;publication_year=2004&amp;pages=100-106&amp;pmid=15026315&amp;" TargetMode="External"/><Relationship Id="rId280" Type="http://schemas.openxmlformats.org/officeDocument/2006/relationships/hyperlink" Target="https://www.ncbi.nlm.nih.gov/pubmed/11774098" TargetMode="External"/><Relationship Id="rId75" Type="http://schemas.openxmlformats.org/officeDocument/2006/relationships/hyperlink" Target="https://www.ncbi.nlm.nih.gov/pmc/articles/PMC3381605/" TargetMode="External"/><Relationship Id="rId140" Type="http://schemas.openxmlformats.org/officeDocument/2006/relationships/hyperlink" Target="https://scholar.google.com/scholar_lookup?journal=N+Engl+J+Med&amp;title=Comparison+of+plasma+exchange+with+plasma+infusion+in+the+treatment+of+thrombotic+thrombocytopenic+purpura.+Canadian+Apheresis+Study+Group&amp;author=GA+Rock&amp;author=KH+Shumak&amp;author=NA+Buskard&amp;volume=325&amp;issue=6&amp;publication_year=1991&amp;pages=393-397&amp;pmid=2062330&amp;" TargetMode="External"/><Relationship Id="rId182" Type="http://schemas.openxmlformats.org/officeDocument/2006/relationships/hyperlink" Target="https://www.ncbi.nlm.nih.gov/pubmed/12683694" TargetMode="External"/><Relationship Id="rId6" Type="http://schemas.openxmlformats.org/officeDocument/2006/relationships/hyperlink" Target="https://www.ncbi.nlm.nih.gov/pmc/articles/PMC3381605/" TargetMode="External"/><Relationship Id="rId238" Type="http://schemas.openxmlformats.org/officeDocument/2006/relationships/hyperlink" Target="https://www.ncbi.nlm.nih.gov/pubmed/16142721" TargetMode="External"/><Relationship Id="rId291" Type="http://schemas.openxmlformats.org/officeDocument/2006/relationships/hyperlink" Target="https://scholar.google.com/scholar_lookup?journal=J+Am+Soc+Nephrol&amp;title=Randomized+trial+of+plasma+exchange+or+high-dosage+methylprednisolone+as+adjunctive+therapy+for+severe+renal+vasculitis&amp;author=DR+Jayne&amp;author=G+Gaskin&amp;author=N+Rasmussen&amp;volume=18&amp;issue=7&amp;publication_year=2007&amp;pages=2180-2188&amp;pmid=17582159&amp;" TargetMode="External"/><Relationship Id="rId305" Type="http://schemas.openxmlformats.org/officeDocument/2006/relationships/hyperlink" Target="https://www.ncbi.nlm.nih.gov/pubmed/19379173" TargetMode="External"/><Relationship Id="rId44" Type="http://schemas.openxmlformats.org/officeDocument/2006/relationships/hyperlink" Target="https://www.ncbi.nlm.nih.gov/pmc/articles/PMC3381605/" TargetMode="External"/><Relationship Id="rId86" Type="http://schemas.openxmlformats.org/officeDocument/2006/relationships/hyperlink" Target="https://www.ncbi.nlm.nih.gov/pmc/articles/PMC3381605/" TargetMode="External"/><Relationship Id="rId151" Type="http://schemas.openxmlformats.org/officeDocument/2006/relationships/hyperlink" Target="https://scholar.google.com/scholar_lookup?journal=Br+J+Haematol&amp;title=Current+understanding+of+disseminated+intravascular+coagulation&amp;author=M+Levi&amp;volume=124&amp;issue=5&amp;publication_year=2004&amp;pages=567-576&amp;pmid=14871243&amp;" TargetMode="External"/><Relationship Id="rId193" Type="http://schemas.openxmlformats.org/officeDocument/2006/relationships/hyperlink" Target="https://www.ncbi.nlm.nih.gov/pubmed/19180126" TargetMode="External"/><Relationship Id="rId207" Type="http://schemas.openxmlformats.org/officeDocument/2006/relationships/hyperlink" Target="https://scholar.google.com/scholar_lookup?journal=Liver+Transpl&amp;title=Von+Willebrand+factor--cleaving+protease+activity+in+thrombotic+microangiopathy+after+living+donor+liver+transplantation:+a+case+report&amp;author=Y+Nakazawa&amp;author=Y+Hashikura&amp;author=K+Urata&amp;volume=9&amp;issue=12&amp;publication_year=2003&amp;pages=1328-1333&amp;pmid=14625834&amp;" TargetMode="External"/><Relationship Id="rId249" Type="http://schemas.openxmlformats.org/officeDocument/2006/relationships/hyperlink" Target="https://www.ncbi.nlm.nih.gov/pubmed/11248154" TargetMode="External"/><Relationship Id="rId13" Type="http://schemas.openxmlformats.org/officeDocument/2006/relationships/hyperlink" Target="https://www.ncbi.nlm.nih.gov/pmc/articles/PMC3381605/" TargetMode="External"/><Relationship Id="rId109" Type="http://schemas.openxmlformats.org/officeDocument/2006/relationships/hyperlink" Target="https://www.ncbi.nlm.nih.gov/pubmed/20568098" TargetMode="External"/><Relationship Id="rId260" Type="http://schemas.openxmlformats.org/officeDocument/2006/relationships/hyperlink" Target="https://scholar.google.com/scholar_lookup?journal=J+Clin+Apher&amp;title=Plasmapheresis+in+acute+disseminated+encephalomyelitis&amp;author=CH+Lin&amp;author=JS+Jeng&amp;author=PK+Yip&amp;volume=19&amp;issue=3&amp;publication_year=2004&amp;pages=154-159&amp;pmid=15493052&amp;" TargetMode="External"/><Relationship Id="rId316" Type="http://schemas.openxmlformats.org/officeDocument/2006/relationships/hyperlink" Target="https://www.ncbi.nlm.nih.gov/pubmed/2155924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19</Pages>
  <Words>15267</Words>
  <Characters>87027</Characters>
  <Application>Microsoft Office Word</Application>
  <DocSecurity>0</DocSecurity>
  <Lines>725</Lines>
  <Paragraphs>204</Paragraphs>
  <ScaleCrop>false</ScaleCrop>
  <Company/>
  <LinksUpToDate>false</LinksUpToDate>
  <CharactersWithSpaces>102090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2021-08-16T11:09:00Z</dcterms:created>
  <dcterms:modified xsi:type="dcterms:W3CDTF">2021-08-16T11:14:00Z</dcterms:modified>
</cp:coreProperties>
</file>