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712" w:rsidRPr="00676712" w:rsidRDefault="00676712" w:rsidP="00676712">
      <w:pPr>
        <w:spacing w:beforeAutospacing="1" w:after="0" w:afterAutospacing="1" w:line="240" w:lineRule="auto"/>
        <w:outlineLvl w:val="0"/>
        <w:rPr>
          <w:rFonts w:ascii="Times New Roman" w:eastAsia="Times New Roman" w:hAnsi="Times New Roman" w:cs="Times New Roman"/>
          <w:b/>
          <w:bCs/>
          <w:color w:val="505050"/>
          <w:kern w:val="36"/>
          <w:sz w:val="48"/>
          <w:szCs w:val="48"/>
        </w:rPr>
      </w:pPr>
      <w:r w:rsidRPr="00676712">
        <w:rPr>
          <w:rFonts w:ascii="Times New Roman" w:eastAsia="Times New Roman" w:hAnsi="Times New Roman" w:cs="Times New Roman"/>
          <w:b/>
          <w:bCs/>
          <w:color w:val="505050"/>
          <w:kern w:val="36"/>
          <w:sz w:val="48"/>
          <w:szCs w:val="48"/>
        </w:rPr>
        <w:t>Therapeutic plasma exchange followed by convalescent plasma transfusion in critical COVID-19—An exploratory study</w:t>
      </w:r>
    </w:p>
    <w:p w:rsidR="007726B1" w:rsidRDefault="00676712">
      <w:hyperlink r:id="rId4" w:history="1">
        <w:r w:rsidRPr="00D65D14">
          <w:rPr>
            <w:rStyle w:val="Hyperlink"/>
          </w:rPr>
          <w:t>https://www.sciencedirect.com/science/article/pii/S120197122032289X</w:t>
        </w:r>
      </w:hyperlink>
    </w:p>
    <w:p w:rsidR="00676712" w:rsidRDefault="00676712"/>
    <w:p w:rsidR="00676712" w:rsidRPr="00676712" w:rsidRDefault="00676712" w:rsidP="00676712">
      <w:pPr>
        <w:shd w:val="clear" w:color="auto" w:fill="F5F5F5"/>
        <w:spacing w:before="100" w:beforeAutospacing="1" w:after="100" w:afterAutospacing="1" w:line="240" w:lineRule="auto"/>
        <w:outlineLvl w:val="1"/>
        <w:rPr>
          <w:rFonts w:ascii="Georgia" w:eastAsia="Times New Roman" w:hAnsi="Georgia" w:cs="Times New Roman"/>
          <w:b/>
          <w:bCs/>
          <w:color w:val="505050"/>
          <w:sz w:val="36"/>
          <w:szCs w:val="36"/>
        </w:rPr>
      </w:pPr>
      <w:r w:rsidRPr="00676712">
        <w:rPr>
          <w:rFonts w:ascii="Georgia" w:eastAsia="Times New Roman" w:hAnsi="Georgia" w:cs="Times New Roman"/>
          <w:b/>
          <w:bCs/>
          <w:color w:val="505050"/>
          <w:sz w:val="36"/>
          <w:szCs w:val="36"/>
        </w:rPr>
        <w:t>Highlights</w:t>
      </w:r>
    </w:p>
    <w:p w:rsidR="00676712" w:rsidRPr="00676712" w:rsidRDefault="00676712" w:rsidP="00676712">
      <w:pPr>
        <w:shd w:val="clear" w:color="auto" w:fill="F5F5F5"/>
        <w:spacing w:after="0" w:line="240" w:lineRule="auto"/>
        <w:ind w:right="30"/>
        <w:rPr>
          <w:rFonts w:ascii="Georgia" w:eastAsia="Times New Roman" w:hAnsi="Georgia" w:cs="Times New Roman"/>
          <w:color w:val="2E2E2E"/>
          <w:sz w:val="27"/>
          <w:szCs w:val="27"/>
        </w:rPr>
      </w:pPr>
      <w:r w:rsidRPr="00676712">
        <w:rPr>
          <w:rFonts w:ascii="Georgia" w:eastAsia="Times New Roman" w:hAnsi="Georgia" w:cs="Times New Roman"/>
          <w:color w:val="2E2E2E"/>
          <w:sz w:val="27"/>
          <w:szCs w:val="27"/>
        </w:rPr>
        <w:t>•</w:t>
      </w:r>
    </w:p>
    <w:p w:rsidR="00676712" w:rsidRPr="00676712" w:rsidRDefault="00676712" w:rsidP="00676712">
      <w:pPr>
        <w:shd w:val="clear" w:color="auto" w:fill="F5F5F5"/>
        <w:spacing w:after="240" w:line="240" w:lineRule="auto"/>
        <w:ind w:left="720"/>
        <w:rPr>
          <w:rFonts w:ascii="Georgia" w:eastAsia="Times New Roman" w:hAnsi="Georgia" w:cs="Times New Roman"/>
          <w:color w:val="2E2E2E"/>
          <w:sz w:val="27"/>
          <w:szCs w:val="27"/>
        </w:rPr>
      </w:pPr>
      <w:r w:rsidRPr="00676712">
        <w:rPr>
          <w:rFonts w:ascii="Georgia" w:eastAsia="Times New Roman" w:hAnsi="Georgia" w:cs="Times New Roman"/>
          <w:color w:val="2E2E2E"/>
          <w:sz w:val="27"/>
          <w:szCs w:val="27"/>
        </w:rPr>
        <w:t>Therapeutic plasma exchange and convalescent plasma are potential therapeutics in COVID-19.</w:t>
      </w:r>
    </w:p>
    <w:p w:rsidR="00676712" w:rsidRPr="00676712" w:rsidRDefault="00676712" w:rsidP="00676712">
      <w:pPr>
        <w:shd w:val="clear" w:color="auto" w:fill="F5F5F5"/>
        <w:spacing w:after="0" w:line="240" w:lineRule="auto"/>
        <w:ind w:left="360" w:right="30"/>
        <w:rPr>
          <w:rFonts w:ascii="Georgia" w:eastAsia="Times New Roman" w:hAnsi="Georgia" w:cs="Times New Roman"/>
          <w:color w:val="2E2E2E"/>
          <w:sz w:val="27"/>
          <w:szCs w:val="27"/>
        </w:rPr>
      </w:pPr>
      <w:r w:rsidRPr="00676712">
        <w:rPr>
          <w:rFonts w:ascii="Georgia" w:eastAsia="Times New Roman" w:hAnsi="Georgia" w:cs="Times New Roman"/>
          <w:color w:val="2E2E2E"/>
          <w:sz w:val="27"/>
          <w:szCs w:val="27"/>
        </w:rPr>
        <w:t>•</w:t>
      </w:r>
    </w:p>
    <w:p w:rsidR="00676712" w:rsidRPr="00676712" w:rsidRDefault="00676712" w:rsidP="00676712">
      <w:pPr>
        <w:shd w:val="clear" w:color="auto" w:fill="F5F5F5"/>
        <w:spacing w:after="240" w:line="240" w:lineRule="auto"/>
        <w:ind w:left="720"/>
        <w:rPr>
          <w:rFonts w:ascii="Georgia" w:eastAsia="Times New Roman" w:hAnsi="Georgia" w:cs="Times New Roman"/>
          <w:color w:val="2E2E2E"/>
          <w:sz w:val="27"/>
          <w:szCs w:val="27"/>
        </w:rPr>
      </w:pPr>
      <w:r w:rsidRPr="00676712">
        <w:rPr>
          <w:rFonts w:ascii="Georgia" w:eastAsia="Times New Roman" w:hAnsi="Georgia" w:cs="Times New Roman"/>
          <w:color w:val="2E2E2E"/>
          <w:sz w:val="27"/>
          <w:szCs w:val="27"/>
        </w:rPr>
        <w:t>Sequential therapy has lower mortality in comparison to historical control.</w:t>
      </w:r>
    </w:p>
    <w:p w:rsidR="00676712" w:rsidRPr="00676712" w:rsidRDefault="00676712" w:rsidP="00676712">
      <w:pPr>
        <w:shd w:val="clear" w:color="auto" w:fill="F5F5F5"/>
        <w:spacing w:after="0" w:line="240" w:lineRule="auto"/>
        <w:ind w:left="720" w:right="30"/>
        <w:rPr>
          <w:rFonts w:ascii="Georgia" w:eastAsia="Times New Roman" w:hAnsi="Georgia" w:cs="Times New Roman"/>
          <w:color w:val="2E2E2E"/>
          <w:sz w:val="27"/>
          <w:szCs w:val="27"/>
        </w:rPr>
      </w:pPr>
      <w:r w:rsidRPr="00676712">
        <w:rPr>
          <w:rFonts w:ascii="Georgia" w:eastAsia="Times New Roman" w:hAnsi="Georgia" w:cs="Times New Roman"/>
          <w:color w:val="2E2E2E"/>
          <w:sz w:val="27"/>
          <w:szCs w:val="27"/>
        </w:rPr>
        <w:t>•</w:t>
      </w:r>
    </w:p>
    <w:p w:rsidR="00676712" w:rsidRPr="00676712" w:rsidRDefault="00676712" w:rsidP="00676712">
      <w:pPr>
        <w:shd w:val="clear" w:color="auto" w:fill="F5F5F5"/>
        <w:spacing w:after="240" w:line="240" w:lineRule="auto"/>
        <w:ind w:left="720"/>
        <w:rPr>
          <w:rFonts w:ascii="Georgia" w:eastAsia="Times New Roman" w:hAnsi="Georgia" w:cs="Times New Roman"/>
          <w:color w:val="2E2E2E"/>
          <w:sz w:val="27"/>
          <w:szCs w:val="27"/>
        </w:rPr>
      </w:pPr>
      <w:r w:rsidRPr="00676712">
        <w:rPr>
          <w:rFonts w:ascii="Georgia" w:eastAsia="Times New Roman" w:hAnsi="Georgia" w:cs="Times New Roman"/>
          <w:color w:val="2E2E2E"/>
          <w:sz w:val="27"/>
          <w:szCs w:val="27"/>
        </w:rPr>
        <w:t>No significant immediate complication with sequential treatment.</w:t>
      </w:r>
    </w:p>
    <w:p w:rsidR="00676712" w:rsidRPr="00676712" w:rsidRDefault="00676712" w:rsidP="00676712">
      <w:pPr>
        <w:spacing w:before="100" w:beforeAutospacing="1" w:after="100" w:afterAutospacing="1" w:line="240" w:lineRule="auto"/>
        <w:outlineLvl w:val="1"/>
        <w:rPr>
          <w:rFonts w:ascii="Georgia" w:eastAsia="Times New Roman" w:hAnsi="Georgia" w:cs="Times New Roman"/>
          <w:b/>
          <w:bCs/>
          <w:color w:val="505050"/>
          <w:sz w:val="36"/>
          <w:szCs w:val="36"/>
        </w:rPr>
      </w:pPr>
      <w:r w:rsidRPr="00676712">
        <w:rPr>
          <w:rFonts w:ascii="Georgia" w:eastAsia="Times New Roman" w:hAnsi="Georgia" w:cs="Times New Roman"/>
          <w:b/>
          <w:bCs/>
          <w:color w:val="505050"/>
          <w:sz w:val="36"/>
          <w:szCs w:val="36"/>
        </w:rPr>
        <w:t>Abstract</w:t>
      </w:r>
    </w:p>
    <w:p w:rsidR="00676712" w:rsidRPr="00676712" w:rsidRDefault="00676712" w:rsidP="00676712">
      <w:pPr>
        <w:spacing w:after="240" w:line="240" w:lineRule="auto"/>
        <w:rPr>
          <w:rFonts w:ascii="Georgia" w:eastAsia="Times New Roman" w:hAnsi="Georgia" w:cs="Times New Roman"/>
          <w:color w:val="2E2E2E"/>
          <w:sz w:val="27"/>
          <w:szCs w:val="27"/>
        </w:rPr>
      </w:pPr>
      <w:r w:rsidRPr="00676712">
        <w:rPr>
          <w:rFonts w:ascii="Georgia" w:eastAsia="Times New Roman" w:hAnsi="Georgia" w:cs="Times New Roman"/>
          <w:color w:val="2E2E2E"/>
          <w:sz w:val="27"/>
          <w:szCs w:val="27"/>
        </w:rPr>
        <w:t xml:space="preserve">The pathophysiology of severe coronavirus disease 2019 (COVID-19) is primarily a host immune interplay to virus invasion. The therapeutic options have been explored either against </w:t>
      </w:r>
      <w:proofErr w:type="spellStart"/>
      <w:r w:rsidRPr="00676712">
        <w:rPr>
          <w:rFonts w:ascii="Georgia" w:eastAsia="Times New Roman" w:hAnsi="Georgia" w:cs="Times New Roman"/>
          <w:color w:val="2E2E2E"/>
          <w:sz w:val="27"/>
          <w:szCs w:val="27"/>
        </w:rPr>
        <w:t>hyperinflammation</w:t>
      </w:r>
      <w:proofErr w:type="spellEnd"/>
      <w:r w:rsidRPr="00676712">
        <w:rPr>
          <w:rFonts w:ascii="Georgia" w:eastAsia="Times New Roman" w:hAnsi="Georgia" w:cs="Times New Roman"/>
          <w:color w:val="2E2E2E"/>
          <w:sz w:val="27"/>
          <w:szCs w:val="27"/>
        </w:rPr>
        <w:t xml:space="preserve"> from dysregulated adaptive immunity or direct virus neutralization using antibodies from convalescent plasma (CP) of a recovered patient. The therapeutic plasma exchange (TPE) for removal of excessive inflammatory cytokines has been tried with success in COVID-19. We undertook this exploratory study to evaluate safety and efficacy of TPE followed by CP transfusion in 14 patients with critical COVID-19 requiring invasive mechanical ventilation (IMV). All patients showed improvement in symptoms and decrease of inflammatory markers especially CRP (p = 0.03). 10 patients were liberated from IMV after a median of 5.5 (3–36) days, post sequential therapy. Day 7 and Day 28 mortality was 21.4% and 28.6% respectively. The median duration ICU and hospital LOS were 12 (5−42) days and 18 (12−47) days respectively. No patient developed transfusion-associated complications, but three patients developed secondary bacterial sepsis within 14 days of therapy, and one died.</w:t>
      </w:r>
    </w:p>
    <w:p w:rsidR="00676712" w:rsidRPr="00676712" w:rsidRDefault="00676712" w:rsidP="00676712">
      <w:pPr>
        <w:spacing w:after="240" w:line="240" w:lineRule="auto"/>
        <w:rPr>
          <w:rFonts w:ascii="Georgia" w:eastAsia="Times New Roman" w:hAnsi="Georgia" w:cs="Times New Roman"/>
          <w:color w:val="2E2E2E"/>
          <w:sz w:val="27"/>
          <w:szCs w:val="27"/>
        </w:rPr>
      </w:pPr>
      <w:r w:rsidRPr="00676712">
        <w:rPr>
          <w:rFonts w:ascii="Georgia" w:eastAsia="Times New Roman" w:hAnsi="Georgia" w:cs="Times New Roman"/>
          <w:color w:val="2E2E2E"/>
          <w:sz w:val="27"/>
          <w:szCs w:val="27"/>
        </w:rPr>
        <w:lastRenderedPageBreak/>
        <w:t>This case series demonstrated the sequential use of TPE followed by CP transfusion as a therapeutic option in critical COVID-19.</w:t>
      </w:r>
    </w:p>
    <w:p w:rsidR="00676712" w:rsidRPr="00676712" w:rsidRDefault="00676712" w:rsidP="00676712">
      <w:pPr>
        <w:spacing w:before="240" w:after="100" w:afterAutospacing="1" w:line="420" w:lineRule="atLeast"/>
        <w:outlineLvl w:val="1"/>
        <w:rPr>
          <w:rFonts w:ascii="Times New Roman" w:eastAsia="Times New Roman" w:hAnsi="Times New Roman" w:cs="Times New Roman"/>
          <w:b/>
          <w:bCs/>
          <w:color w:val="505050"/>
          <w:sz w:val="36"/>
          <w:szCs w:val="36"/>
        </w:rPr>
      </w:pPr>
      <w:r w:rsidRPr="00676712">
        <w:rPr>
          <w:rFonts w:ascii="Times New Roman" w:eastAsia="Times New Roman" w:hAnsi="Times New Roman" w:cs="Times New Roman"/>
          <w:b/>
          <w:bCs/>
          <w:color w:val="505050"/>
          <w:sz w:val="36"/>
          <w:szCs w:val="36"/>
        </w:rPr>
        <w:t>Keywords</w:t>
      </w:r>
    </w:p>
    <w:p w:rsidR="00676712" w:rsidRPr="00676712" w:rsidRDefault="00676712" w:rsidP="00676712">
      <w:pPr>
        <w:spacing w:after="0" w:line="420" w:lineRule="atLeast"/>
        <w:rPr>
          <w:rFonts w:ascii="Times New Roman" w:eastAsia="Times New Roman" w:hAnsi="Times New Roman" w:cs="Times New Roman"/>
          <w:color w:val="2E2E2E"/>
          <w:sz w:val="27"/>
          <w:szCs w:val="27"/>
        </w:rPr>
      </w:pPr>
      <w:r w:rsidRPr="00676712">
        <w:rPr>
          <w:rFonts w:ascii="Times New Roman" w:eastAsia="Times New Roman" w:hAnsi="Times New Roman" w:cs="Times New Roman"/>
          <w:color w:val="2E2E2E"/>
          <w:sz w:val="27"/>
          <w:szCs w:val="27"/>
        </w:rPr>
        <w:t>COVID-19</w:t>
      </w:r>
    </w:p>
    <w:p w:rsidR="00676712" w:rsidRPr="00676712" w:rsidRDefault="00676712" w:rsidP="00676712">
      <w:pPr>
        <w:spacing w:after="0" w:line="420" w:lineRule="atLeast"/>
        <w:rPr>
          <w:rFonts w:ascii="Times New Roman" w:eastAsia="Times New Roman" w:hAnsi="Times New Roman" w:cs="Times New Roman"/>
          <w:color w:val="2E2E2E"/>
          <w:sz w:val="27"/>
          <w:szCs w:val="27"/>
        </w:rPr>
      </w:pPr>
      <w:r w:rsidRPr="00676712">
        <w:rPr>
          <w:rFonts w:ascii="Times New Roman" w:eastAsia="Times New Roman" w:hAnsi="Times New Roman" w:cs="Times New Roman"/>
          <w:color w:val="2E2E2E"/>
          <w:sz w:val="27"/>
          <w:szCs w:val="27"/>
        </w:rPr>
        <w:t>Therapeutic plasma exchange</w:t>
      </w:r>
    </w:p>
    <w:p w:rsidR="00676712" w:rsidRPr="00676712" w:rsidRDefault="00676712" w:rsidP="00676712">
      <w:pPr>
        <w:spacing w:after="0" w:line="420" w:lineRule="atLeast"/>
        <w:rPr>
          <w:rFonts w:ascii="Times New Roman" w:eastAsia="Times New Roman" w:hAnsi="Times New Roman" w:cs="Times New Roman"/>
          <w:color w:val="2E2E2E"/>
          <w:sz w:val="27"/>
          <w:szCs w:val="27"/>
        </w:rPr>
      </w:pPr>
      <w:r w:rsidRPr="00676712">
        <w:rPr>
          <w:rFonts w:ascii="Times New Roman" w:eastAsia="Times New Roman" w:hAnsi="Times New Roman" w:cs="Times New Roman"/>
          <w:color w:val="2E2E2E"/>
          <w:sz w:val="27"/>
          <w:szCs w:val="27"/>
        </w:rPr>
        <w:t>Convalescent plasma</w:t>
      </w:r>
    </w:p>
    <w:p w:rsidR="00676712" w:rsidRPr="00676712" w:rsidRDefault="00676712" w:rsidP="00676712">
      <w:pPr>
        <w:spacing w:after="0" w:line="420" w:lineRule="atLeast"/>
        <w:rPr>
          <w:rFonts w:ascii="Times New Roman" w:eastAsia="Times New Roman" w:hAnsi="Times New Roman" w:cs="Times New Roman"/>
          <w:color w:val="2E2E2E"/>
          <w:sz w:val="27"/>
          <w:szCs w:val="27"/>
        </w:rPr>
      </w:pPr>
      <w:r w:rsidRPr="00676712">
        <w:rPr>
          <w:rFonts w:ascii="Times New Roman" w:eastAsia="Times New Roman" w:hAnsi="Times New Roman" w:cs="Times New Roman"/>
          <w:color w:val="2E2E2E"/>
          <w:sz w:val="27"/>
          <w:szCs w:val="27"/>
        </w:rPr>
        <w:t>ARDS</w:t>
      </w:r>
    </w:p>
    <w:p w:rsidR="00676712" w:rsidRPr="00676712" w:rsidRDefault="00676712" w:rsidP="00676712">
      <w:pPr>
        <w:spacing w:after="0" w:line="420" w:lineRule="atLeast"/>
        <w:rPr>
          <w:rFonts w:ascii="Times New Roman" w:eastAsia="Times New Roman" w:hAnsi="Times New Roman" w:cs="Times New Roman"/>
          <w:color w:val="2E2E2E"/>
          <w:sz w:val="27"/>
          <w:szCs w:val="27"/>
        </w:rPr>
      </w:pPr>
      <w:r w:rsidRPr="00676712">
        <w:rPr>
          <w:rFonts w:ascii="Times New Roman" w:eastAsia="Times New Roman" w:hAnsi="Times New Roman" w:cs="Times New Roman"/>
          <w:color w:val="2E2E2E"/>
          <w:sz w:val="27"/>
          <w:szCs w:val="27"/>
        </w:rPr>
        <w:t>SARS-CoV-2</w:t>
      </w:r>
    </w:p>
    <w:p w:rsidR="00676712" w:rsidRPr="00676712" w:rsidRDefault="00676712" w:rsidP="00676712">
      <w:pPr>
        <w:spacing w:line="420" w:lineRule="atLeast"/>
        <w:rPr>
          <w:rFonts w:ascii="Times New Roman" w:eastAsia="Times New Roman" w:hAnsi="Times New Roman" w:cs="Times New Roman"/>
          <w:color w:val="2E2E2E"/>
          <w:sz w:val="27"/>
          <w:szCs w:val="27"/>
        </w:rPr>
      </w:pPr>
      <w:r w:rsidRPr="00676712">
        <w:rPr>
          <w:rFonts w:ascii="Times New Roman" w:eastAsia="Times New Roman" w:hAnsi="Times New Roman" w:cs="Times New Roman"/>
          <w:color w:val="2E2E2E"/>
          <w:sz w:val="27"/>
          <w:szCs w:val="27"/>
        </w:rPr>
        <w:t>Critical COVID-19</w:t>
      </w:r>
    </w:p>
    <w:p w:rsidR="00676712" w:rsidRPr="00676712" w:rsidRDefault="00676712" w:rsidP="00676712">
      <w:pPr>
        <w:spacing w:before="100" w:beforeAutospacing="1" w:after="100" w:afterAutospacing="1" w:line="390" w:lineRule="atLeast"/>
        <w:outlineLvl w:val="1"/>
        <w:rPr>
          <w:rFonts w:ascii="Times New Roman" w:eastAsia="Times New Roman" w:hAnsi="Times New Roman" w:cs="Times New Roman"/>
          <w:b/>
          <w:bCs/>
          <w:color w:val="505050"/>
          <w:sz w:val="36"/>
          <w:szCs w:val="36"/>
        </w:rPr>
      </w:pPr>
      <w:r w:rsidRPr="00676712">
        <w:rPr>
          <w:rFonts w:ascii="Times New Roman" w:eastAsia="Times New Roman" w:hAnsi="Times New Roman" w:cs="Times New Roman"/>
          <w:b/>
          <w:bCs/>
          <w:color w:val="505050"/>
          <w:sz w:val="36"/>
          <w:szCs w:val="36"/>
        </w:rPr>
        <w:t>Introduction</w:t>
      </w:r>
    </w:p>
    <w:p w:rsidR="00676712" w:rsidRPr="00676712" w:rsidRDefault="00676712" w:rsidP="00676712">
      <w:pPr>
        <w:spacing w:after="0" w:line="390" w:lineRule="atLeast"/>
        <w:rPr>
          <w:rFonts w:ascii="Times New Roman" w:eastAsia="Times New Roman" w:hAnsi="Times New Roman" w:cs="Times New Roman"/>
          <w:color w:val="2E2E2E"/>
          <w:sz w:val="27"/>
          <w:szCs w:val="27"/>
        </w:rPr>
      </w:pPr>
      <w:r w:rsidRPr="00676712">
        <w:rPr>
          <w:rFonts w:ascii="Times New Roman" w:eastAsia="Times New Roman" w:hAnsi="Times New Roman" w:cs="Times New Roman"/>
          <w:color w:val="2E2E2E"/>
          <w:sz w:val="27"/>
          <w:szCs w:val="27"/>
        </w:rPr>
        <w:t>The immune system plays a critical part in pathogenesis of severe coronavirus diseases 2019 (COVID-19) (</w:t>
      </w:r>
      <w:bookmarkStart w:id="0" w:name="bbib0050"/>
      <w:proofErr w:type="spellStart"/>
      <w:r w:rsidRPr="00676712">
        <w:rPr>
          <w:rFonts w:ascii="Times New Roman" w:eastAsia="Times New Roman" w:hAnsi="Times New Roman" w:cs="Times New Roman"/>
          <w:color w:val="2E2E2E"/>
          <w:sz w:val="27"/>
          <w:szCs w:val="27"/>
        </w:rPr>
        <w:fldChar w:fldCharType="begin"/>
      </w:r>
      <w:r w:rsidRPr="00676712">
        <w:rPr>
          <w:rFonts w:ascii="Times New Roman" w:eastAsia="Times New Roman" w:hAnsi="Times New Roman" w:cs="Times New Roman"/>
          <w:color w:val="2E2E2E"/>
          <w:sz w:val="27"/>
          <w:szCs w:val="27"/>
        </w:rPr>
        <w:instrText xml:space="preserve"> HYPERLINK "https://www.sciencedirect.com/science/article/pii/S120197122032289X" \l "bib0050" </w:instrText>
      </w:r>
      <w:r w:rsidRPr="00676712">
        <w:rPr>
          <w:rFonts w:ascii="Times New Roman" w:eastAsia="Times New Roman" w:hAnsi="Times New Roman" w:cs="Times New Roman"/>
          <w:color w:val="2E2E2E"/>
          <w:sz w:val="27"/>
          <w:szCs w:val="27"/>
        </w:rPr>
        <w:fldChar w:fldCharType="separate"/>
      </w:r>
      <w:r w:rsidRPr="00676712">
        <w:rPr>
          <w:rFonts w:ascii="Times New Roman" w:eastAsia="Times New Roman" w:hAnsi="Times New Roman" w:cs="Times New Roman"/>
          <w:color w:val="0C7DBB"/>
          <w:sz w:val="27"/>
          <w:szCs w:val="27"/>
          <w:u w:val="single"/>
        </w:rPr>
        <w:t>Vabre</w:t>
      </w:r>
      <w:proofErr w:type="spellEnd"/>
      <w:r w:rsidRPr="00676712">
        <w:rPr>
          <w:rFonts w:ascii="Times New Roman" w:eastAsia="Times New Roman" w:hAnsi="Times New Roman" w:cs="Times New Roman"/>
          <w:color w:val="0C7DBB"/>
          <w:sz w:val="27"/>
          <w:szCs w:val="27"/>
          <w:u w:val="single"/>
        </w:rPr>
        <w:t xml:space="preserve"> et al., 2020</w:t>
      </w:r>
      <w:r w:rsidRPr="00676712">
        <w:rPr>
          <w:rFonts w:ascii="Times New Roman" w:eastAsia="Times New Roman" w:hAnsi="Times New Roman" w:cs="Times New Roman"/>
          <w:color w:val="2E2E2E"/>
          <w:sz w:val="27"/>
          <w:szCs w:val="27"/>
        </w:rPr>
        <w:fldChar w:fldCharType="end"/>
      </w:r>
      <w:r w:rsidRPr="00676712">
        <w:rPr>
          <w:rFonts w:ascii="Times New Roman" w:eastAsia="Times New Roman" w:hAnsi="Times New Roman" w:cs="Times New Roman"/>
          <w:color w:val="2E2E2E"/>
          <w:sz w:val="27"/>
          <w:szCs w:val="27"/>
        </w:rPr>
        <w:t>). Proposed mechanisms include host immune dysregulation causing excessive cytokines release and/or defective B-cell response with ineffective neutralizing antibodies (</w:t>
      </w:r>
      <w:proofErr w:type="spellStart"/>
      <w:r w:rsidRPr="00676712">
        <w:rPr>
          <w:rFonts w:ascii="Times New Roman" w:eastAsia="Times New Roman" w:hAnsi="Times New Roman" w:cs="Times New Roman"/>
          <w:color w:val="2E2E2E"/>
          <w:sz w:val="27"/>
          <w:szCs w:val="27"/>
        </w:rPr>
        <w:fldChar w:fldCharType="begin"/>
      </w:r>
      <w:r w:rsidRPr="00676712">
        <w:rPr>
          <w:rFonts w:ascii="Times New Roman" w:eastAsia="Times New Roman" w:hAnsi="Times New Roman" w:cs="Times New Roman"/>
          <w:color w:val="2E2E2E"/>
          <w:sz w:val="27"/>
          <w:szCs w:val="27"/>
        </w:rPr>
        <w:instrText xml:space="preserve"> HYPERLINK "https://www.sciencedirect.com/science/article/pii/S120197122032289X" \l "bib0050" </w:instrText>
      </w:r>
      <w:r w:rsidRPr="00676712">
        <w:rPr>
          <w:rFonts w:ascii="Times New Roman" w:eastAsia="Times New Roman" w:hAnsi="Times New Roman" w:cs="Times New Roman"/>
          <w:color w:val="2E2E2E"/>
          <w:sz w:val="27"/>
          <w:szCs w:val="27"/>
        </w:rPr>
        <w:fldChar w:fldCharType="separate"/>
      </w:r>
      <w:r w:rsidRPr="00676712">
        <w:rPr>
          <w:rFonts w:ascii="Times New Roman" w:eastAsia="Times New Roman" w:hAnsi="Times New Roman" w:cs="Times New Roman"/>
          <w:color w:val="0C7DBB"/>
          <w:sz w:val="27"/>
          <w:szCs w:val="27"/>
          <w:u w:val="single"/>
        </w:rPr>
        <w:t>Vabre</w:t>
      </w:r>
      <w:proofErr w:type="spellEnd"/>
      <w:r w:rsidRPr="00676712">
        <w:rPr>
          <w:rFonts w:ascii="Times New Roman" w:eastAsia="Times New Roman" w:hAnsi="Times New Roman" w:cs="Times New Roman"/>
          <w:color w:val="0C7DBB"/>
          <w:sz w:val="27"/>
          <w:szCs w:val="27"/>
          <w:u w:val="single"/>
        </w:rPr>
        <w:t xml:space="preserve"> et al., 2020</w:t>
      </w:r>
      <w:r w:rsidRPr="00676712">
        <w:rPr>
          <w:rFonts w:ascii="Times New Roman" w:eastAsia="Times New Roman" w:hAnsi="Times New Roman" w:cs="Times New Roman"/>
          <w:color w:val="2E2E2E"/>
          <w:sz w:val="27"/>
          <w:szCs w:val="27"/>
        </w:rPr>
        <w:fldChar w:fldCharType="end"/>
      </w:r>
      <w:bookmarkEnd w:id="0"/>
      <w:r w:rsidRPr="00676712">
        <w:rPr>
          <w:rFonts w:ascii="Times New Roman" w:eastAsia="Times New Roman" w:hAnsi="Times New Roman" w:cs="Times New Roman"/>
          <w:color w:val="2E2E2E"/>
          <w:sz w:val="27"/>
          <w:szCs w:val="27"/>
        </w:rPr>
        <w:t xml:space="preserve">). The success story of corticosteroids in severe COVID-19 signals towards </w:t>
      </w:r>
      <w:proofErr w:type="spellStart"/>
      <w:r w:rsidRPr="00676712">
        <w:rPr>
          <w:rFonts w:ascii="Times New Roman" w:eastAsia="Times New Roman" w:hAnsi="Times New Roman" w:cs="Times New Roman"/>
          <w:color w:val="2E2E2E"/>
          <w:sz w:val="27"/>
          <w:szCs w:val="27"/>
        </w:rPr>
        <w:t>hyperinflammation</w:t>
      </w:r>
      <w:proofErr w:type="spellEnd"/>
      <w:r w:rsidRPr="00676712">
        <w:rPr>
          <w:rFonts w:ascii="Times New Roman" w:eastAsia="Times New Roman" w:hAnsi="Times New Roman" w:cs="Times New Roman"/>
          <w:color w:val="2E2E2E"/>
          <w:sz w:val="27"/>
          <w:szCs w:val="27"/>
        </w:rPr>
        <w:t xml:space="preserve"> and immunomodulation (</w:t>
      </w:r>
      <w:bookmarkStart w:id="1" w:name="bbib0055"/>
      <w:r w:rsidRPr="00676712">
        <w:rPr>
          <w:rFonts w:ascii="Times New Roman" w:eastAsia="Times New Roman" w:hAnsi="Times New Roman" w:cs="Times New Roman"/>
          <w:color w:val="2E2E2E"/>
          <w:sz w:val="27"/>
          <w:szCs w:val="27"/>
        </w:rPr>
        <w:fldChar w:fldCharType="begin"/>
      </w:r>
      <w:r w:rsidRPr="00676712">
        <w:rPr>
          <w:rFonts w:ascii="Times New Roman" w:eastAsia="Times New Roman" w:hAnsi="Times New Roman" w:cs="Times New Roman"/>
          <w:color w:val="2E2E2E"/>
          <w:sz w:val="27"/>
          <w:szCs w:val="27"/>
        </w:rPr>
        <w:instrText xml:space="preserve"> HYPERLINK "https://www.sciencedirect.com/science/article/pii/S120197122032289X" \l "bib0055" </w:instrText>
      </w:r>
      <w:r w:rsidRPr="00676712">
        <w:rPr>
          <w:rFonts w:ascii="Times New Roman" w:eastAsia="Times New Roman" w:hAnsi="Times New Roman" w:cs="Times New Roman"/>
          <w:color w:val="2E2E2E"/>
          <w:sz w:val="27"/>
          <w:szCs w:val="27"/>
        </w:rPr>
        <w:fldChar w:fldCharType="separate"/>
      </w:r>
      <w:r w:rsidRPr="00676712">
        <w:rPr>
          <w:rFonts w:ascii="Times New Roman" w:eastAsia="Times New Roman" w:hAnsi="Times New Roman" w:cs="Times New Roman"/>
          <w:color w:val="0C7DBB"/>
          <w:sz w:val="27"/>
          <w:szCs w:val="27"/>
          <w:u w:val="single"/>
        </w:rPr>
        <w:t>WHO Rapid Evidence Appraisal for COVID-19 Therapies (REACT) Working Group et al., 2020</w:t>
      </w:r>
      <w:r w:rsidRPr="00676712">
        <w:rPr>
          <w:rFonts w:ascii="Times New Roman" w:eastAsia="Times New Roman" w:hAnsi="Times New Roman" w:cs="Times New Roman"/>
          <w:color w:val="2E2E2E"/>
          <w:sz w:val="27"/>
          <w:szCs w:val="27"/>
        </w:rPr>
        <w:fldChar w:fldCharType="end"/>
      </w:r>
      <w:bookmarkEnd w:id="1"/>
      <w:r w:rsidRPr="00676712">
        <w:rPr>
          <w:rFonts w:ascii="Times New Roman" w:eastAsia="Times New Roman" w:hAnsi="Times New Roman" w:cs="Times New Roman"/>
          <w:color w:val="2E2E2E"/>
          <w:sz w:val="27"/>
          <w:szCs w:val="27"/>
        </w:rPr>
        <w:t>). Convalescent plasma for viral neutralization had been tried with varying success in COVID-19 (</w:t>
      </w:r>
      <w:bookmarkStart w:id="2" w:name="bbib0030"/>
      <w:r w:rsidRPr="00676712">
        <w:rPr>
          <w:rFonts w:ascii="Times New Roman" w:eastAsia="Times New Roman" w:hAnsi="Times New Roman" w:cs="Times New Roman"/>
          <w:color w:val="2E2E2E"/>
          <w:sz w:val="27"/>
          <w:szCs w:val="27"/>
        </w:rPr>
        <w:fldChar w:fldCharType="begin"/>
      </w:r>
      <w:r w:rsidRPr="00676712">
        <w:rPr>
          <w:rFonts w:ascii="Times New Roman" w:eastAsia="Times New Roman" w:hAnsi="Times New Roman" w:cs="Times New Roman"/>
          <w:color w:val="2E2E2E"/>
          <w:sz w:val="27"/>
          <w:szCs w:val="27"/>
        </w:rPr>
        <w:instrText xml:space="preserve"> HYPERLINK "https://www.sciencedirect.com/science/article/pii/S120197122032289X" \l "bib0030" </w:instrText>
      </w:r>
      <w:r w:rsidRPr="00676712">
        <w:rPr>
          <w:rFonts w:ascii="Times New Roman" w:eastAsia="Times New Roman" w:hAnsi="Times New Roman" w:cs="Times New Roman"/>
          <w:color w:val="2E2E2E"/>
          <w:sz w:val="27"/>
          <w:szCs w:val="27"/>
        </w:rPr>
        <w:fldChar w:fldCharType="separate"/>
      </w:r>
      <w:r w:rsidRPr="00676712">
        <w:rPr>
          <w:rFonts w:ascii="Times New Roman" w:eastAsia="Times New Roman" w:hAnsi="Times New Roman" w:cs="Times New Roman"/>
          <w:color w:val="0C7DBB"/>
          <w:sz w:val="27"/>
          <w:szCs w:val="27"/>
          <w:u w:val="single"/>
        </w:rPr>
        <w:t>Li et al., 2020</w:t>
      </w:r>
      <w:r w:rsidRPr="00676712">
        <w:rPr>
          <w:rFonts w:ascii="Times New Roman" w:eastAsia="Times New Roman" w:hAnsi="Times New Roman" w:cs="Times New Roman"/>
          <w:color w:val="2E2E2E"/>
          <w:sz w:val="27"/>
          <w:szCs w:val="27"/>
        </w:rPr>
        <w:fldChar w:fldCharType="end"/>
      </w:r>
      <w:bookmarkEnd w:id="2"/>
      <w:r w:rsidRPr="00676712">
        <w:rPr>
          <w:rFonts w:ascii="Times New Roman" w:eastAsia="Times New Roman" w:hAnsi="Times New Roman" w:cs="Times New Roman"/>
          <w:color w:val="2E2E2E"/>
          <w:sz w:val="27"/>
          <w:szCs w:val="27"/>
        </w:rPr>
        <w:t>, </w:t>
      </w:r>
      <w:bookmarkStart w:id="3" w:name="bbib0035"/>
      <w:r w:rsidRPr="00676712">
        <w:rPr>
          <w:rFonts w:ascii="Times New Roman" w:eastAsia="Times New Roman" w:hAnsi="Times New Roman" w:cs="Times New Roman"/>
          <w:color w:val="2E2E2E"/>
          <w:sz w:val="27"/>
          <w:szCs w:val="27"/>
        </w:rPr>
        <w:fldChar w:fldCharType="begin"/>
      </w:r>
      <w:r w:rsidRPr="00676712">
        <w:rPr>
          <w:rFonts w:ascii="Times New Roman" w:eastAsia="Times New Roman" w:hAnsi="Times New Roman" w:cs="Times New Roman"/>
          <w:color w:val="2E2E2E"/>
          <w:sz w:val="27"/>
          <w:szCs w:val="27"/>
        </w:rPr>
        <w:instrText xml:space="preserve"> HYPERLINK "https://www.sciencedirect.com/science/article/pii/S120197122032289X" \l "bib0035" </w:instrText>
      </w:r>
      <w:r w:rsidRPr="00676712">
        <w:rPr>
          <w:rFonts w:ascii="Times New Roman" w:eastAsia="Times New Roman" w:hAnsi="Times New Roman" w:cs="Times New Roman"/>
          <w:color w:val="2E2E2E"/>
          <w:sz w:val="27"/>
          <w:szCs w:val="27"/>
        </w:rPr>
        <w:fldChar w:fldCharType="separate"/>
      </w:r>
      <w:r w:rsidRPr="00676712">
        <w:rPr>
          <w:rFonts w:ascii="Times New Roman" w:eastAsia="Times New Roman" w:hAnsi="Times New Roman" w:cs="Times New Roman"/>
          <w:color w:val="0C7DBB"/>
          <w:sz w:val="27"/>
          <w:szCs w:val="27"/>
          <w:u w:val="single"/>
        </w:rPr>
        <w:t>Liu et al., 2020</w:t>
      </w:r>
      <w:r w:rsidRPr="00676712">
        <w:rPr>
          <w:rFonts w:ascii="Times New Roman" w:eastAsia="Times New Roman" w:hAnsi="Times New Roman" w:cs="Times New Roman"/>
          <w:color w:val="2E2E2E"/>
          <w:sz w:val="27"/>
          <w:szCs w:val="27"/>
        </w:rPr>
        <w:fldChar w:fldCharType="end"/>
      </w:r>
      <w:bookmarkEnd w:id="3"/>
      <w:r w:rsidRPr="00676712">
        <w:rPr>
          <w:rFonts w:ascii="Times New Roman" w:eastAsia="Times New Roman" w:hAnsi="Times New Roman" w:cs="Times New Roman"/>
          <w:color w:val="2E2E2E"/>
          <w:sz w:val="27"/>
          <w:szCs w:val="27"/>
        </w:rPr>
        <w:t>). Therapeutic plasma exchange (TPE) to remove inflammatory cytokines also had been tried in severe COVID-19 in smaller case series (</w:t>
      </w:r>
      <w:bookmarkStart w:id="4" w:name="bbib0025"/>
      <w:proofErr w:type="spellStart"/>
      <w:r w:rsidRPr="00676712">
        <w:rPr>
          <w:rFonts w:ascii="Times New Roman" w:eastAsia="Times New Roman" w:hAnsi="Times New Roman" w:cs="Times New Roman"/>
          <w:color w:val="2E2E2E"/>
          <w:sz w:val="27"/>
          <w:szCs w:val="27"/>
        </w:rPr>
        <w:fldChar w:fldCharType="begin"/>
      </w:r>
      <w:r w:rsidRPr="00676712">
        <w:rPr>
          <w:rFonts w:ascii="Times New Roman" w:eastAsia="Times New Roman" w:hAnsi="Times New Roman" w:cs="Times New Roman"/>
          <w:color w:val="2E2E2E"/>
          <w:sz w:val="27"/>
          <w:szCs w:val="27"/>
        </w:rPr>
        <w:instrText xml:space="preserve"> HYPERLINK "https://www.sciencedirect.com/science/article/pii/S120197122032289X" \l "bib0025" </w:instrText>
      </w:r>
      <w:r w:rsidRPr="00676712">
        <w:rPr>
          <w:rFonts w:ascii="Times New Roman" w:eastAsia="Times New Roman" w:hAnsi="Times New Roman" w:cs="Times New Roman"/>
          <w:color w:val="2E2E2E"/>
          <w:sz w:val="27"/>
          <w:szCs w:val="27"/>
        </w:rPr>
        <w:fldChar w:fldCharType="separate"/>
      </w:r>
      <w:r w:rsidRPr="00676712">
        <w:rPr>
          <w:rFonts w:ascii="Times New Roman" w:eastAsia="Times New Roman" w:hAnsi="Times New Roman" w:cs="Times New Roman"/>
          <w:color w:val="0C7DBB"/>
          <w:sz w:val="27"/>
          <w:szCs w:val="27"/>
          <w:u w:val="single"/>
        </w:rPr>
        <w:t>Khamis</w:t>
      </w:r>
      <w:proofErr w:type="spellEnd"/>
      <w:r w:rsidRPr="00676712">
        <w:rPr>
          <w:rFonts w:ascii="Times New Roman" w:eastAsia="Times New Roman" w:hAnsi="Times New Roman" w:cs="Times New Roman"/>
          <w:color w:val="0C7DBB"/>
          <w:sz w:val="27"/>
          <w:szCs w:val="27"/>
          <w:u w:val="single"/>
        </w:rPr>
        <w:t xml:space="preserve"> et al., 2020</w:t>
      </w:r>
      <w:r w:rsidRPr="00676712">
        <w:rPr>
          <w:rFonts w:ascii="Times New Roman" w:eastAsia="Times New Roman" w:hAnsi="Times New Roman" w:cs="Times New Roman"/>
          <w:color w:val="2E2E2E"/>
          <w:sz w:val="27"/>
          <w:szCs w:val="27"/>
        </w:rPr>
        <w:fldChar w:fldCharType="end"/>
      </w:r>
      <w:bookmarkEnd w:id="4"/>
      <w:r w:rsidRPr="00676712">
        <w:rPr>
          <w:rFonts w:ascii="Times New Roman" w:eastAsia="Times New Roman" w:hAnsi="Times New Roman" w:cs="Times New Roman"/>
          <w:color w:val="2E2E2E"/>
          <w:sz w:val="27"/>
          <w:szCs w:val="27"/>
        </w:rPr>
        <w:t>, </w:t>
      </w:r>
      <w:bookmarkStart w:id="5" w:name="bbib0040"/>
      <w:r w:rsidRPr="00676712">
        <w:rPr>
          <w:rFonts w:ascii="Times New Roman" w:eastAsia="Times New Roman" w:hAnsi="Times New Roman" w:cs="Times New Roman"/>
          <w:color w:val="2E2E2E"/>
          <w:sz w:val="27"/>
          <w:szCs w:val="27"/>
        </w:rPr>
        <w:fldChar w:fldCharType="begin"/>
      </w:r>
      <w:r w:rsidRPr="00676712">
        <w:rPr>
          <w:rFonts w:ascii="Times New Roman" w:eastAsia="Times New Roman" w:hAnsi="Times New Roman" w:cs="Times New Roman"/>
          <w:color w:val="2E2E2E"/>
          <w:sz w:val="27"/>
          <w:szCs w:val="27"/>
        </w:rPr>
        <w:instrText xml:space="preserve"> HYPERLINK "https://www.sciencedirect.com/science/article/pii/S120197122032289X" \l "bib0040" </w:instrText>
      </w:r>
      <w:r w:rsidRPr="00676712">
        <w:rPr>
          <w:rFonts w:ascii="Times New Roman" w:eastAsia="Times New Roman" w:hAnsi="Times New Roman" w:cs="Times New Roman"/>
          <w:color w:val="2E2E2E"/>
          <w:sz w:val="27"/>
          <w:szCs w:val="27"/>
        </w:rPr>
        <w:fldChar w:fldCharType="separate"/>
      </w:r>
      <w:r w:rsidRPr="00676712">
        <w:rPr>
          <w:rFonts w:ascii="Times New Roman" w:eastAsia="Times New Roman" w:hAnsi="Times New Roman" w:cs="Times New Roman"/>
          <w:color w:val="0C7DBB"/>
          <w:sz w:val="27"/>
          <w:szCs w:val="27"/>
          <w:u w:val="single"/>
        </w:rPr>
        <w:t>Shi et al., 2020</w:t>
      </w:r>
      <w:r w:rsidRPr="00676712">
        <w:rPr>
          <w:rFonts w:ascii="Times New Roman" w:eastAsia="Times New Roman" w:hAnsi="Times New Roman" w:cs="Times New Roman"/>
          <w:color w:val="2E2E2E"/>
          <w:sz w:val="27"/>
          <w:szCs w:val="27"/>
        </w:rPr>
        <w:fldChar w:fldCharType="end"/>
      </w:r>
      <w:bookmarkEnd w:id="5"/>
      <w:r w:rsidRPr="00676712">
        <w:rPr>
          <w:rFonts w:ascii="Times New Roman" w:eastAsia="Times New Roman" w:hAnsi="Times New Roman" w:cs="Times New Roman"/>
          <w:color w:val="2E2E2E"/>
          <w:sz w:val="27"/>
          <w:szCs w:val="27"/>
        </w:rPr>
        <w:t>, </w:t>
      </w:r>
      <w:bookmarkStart w:id="6" w:name="bbib0060"/>
      <w:r w:rsidRPr="00676712">
        <w:rPr>
          <w:rFonts w:ascii="Times New Roman" w:eastAsia="Times New Roman" w:hAnsi="Times New Roman" w:cs="Times New Roman"/>
          <w:color w:val="2E2E2E"/>
          <w:sz w:val="27"/>
          <w:szCs w:val="27"/>
        </w:rPr>
        <w:fldChar w:fldCharType="begin"/>
      </w:r>
      <w:r w:rsidRPr="00676712">
        <w:rPr>
          <w:rFonts w:ascii="Times New Roman" w:eastAsia="Times New Roman" w:hAnsi="Times New Roman" w:cs="Times New Roman"/>
          <w:color w:val="2E2E2E"/>
          <w:sz w:val="27"/>
          <w:szCs w:val="27"/>
        </w:rPr>
        <w:instrText xml:space="preserve"> HYPERLINK "https://www.sciencedirect.com/science/article/pii/S120197122032289X" \l "bib0060" </w:instrText>
      </w:r>
      <w:r w:rsidRPr="00676712">
        <w:rPr>
          <w:rFonts w:ascii="Times New Roman" w:eastAsia="Times New Roman" w:hAnsi="Times New Roman" w:cs="Times New Roman"/>
          <w:color w:val="2E2E2E"/>
          <w:sz w:val="27"/>
          <w:szCs w:val="27"/>
        </w:rPr>
        <w:fldChar w:fldCharType="separate"/>
      </w:r>
      <w:r w:rsidRPr="00676712">
        <w:rPr>
          <w:rFonts w:ascii="Times New Roman" w:eastAsia="Times New Roman" w:hAnsi="Times New Roman" w:cs="Times New Roman"/>
          <w:color w:val="0C7DBB"/>
          <w:sz w:val="27"/>
          <w:szCs w:val="27"/>
          <w:u w:val="single"/>
        </w:rPr>
        <w:t>Zhang et al., 2020</w:t>
      </w:r>
      <w:r w:rsidRPr="00676712">
        <w:rPr>
          <w:rFonts w:ascii="Times New Roman" w:eastAsia="Times New Roman" w:hAnsi="Times New Roman" w:cs="Times New Roman"/>
          <w:color w:val="2E2E2E"/>
          <w:sz w:val="27"/>
          <w:szCs w:val="27"/>
        </w:rPr>
        <w:fldChar w:fldCharType="end"/>
      </w:r>
      <w:bookmarkEnd w:id="6"/>
      <w:r w:rsidRPr="00676712">
        <w:rPr>
          <w:rFonts w:ascii="Times New Roman" w:eastAsia="Times New Roman" w:hAnsi="Times New Roman" w:cs="Times New Roman"/>
          <w:color w:val="2E2E2E"/>
          <w:sz w:val="27"/>
          <w:szCs w:val="27"/>
        </w:rPr>
        <w:t>). We used a sequential therapy with TPE followed by CP transfusion in 14 severe COVID-19 patients who were on invasive mechanical ventilation (IMV) to evaluate its effectiveness and safety.</w:t>
      </w:r>
    </w:p>
    <w:p w:rsidR="00676712" w:rsidRPr="00676712" w:rsidRDefault="00676712" w:rsidP="00676712">
      <w:pPr>
        <w:spacing w:before="100" w:beforeAutospacing="1" w:after="100" w:afterAutospacing="1" w:line="390" w:lineRule="atLeast"/>
        <w:outlineLvl w:val="1"/>
        <w:rPr>
          <w:rFonts w:ascii="Times New Roman" w:eastAsia="Times New Roman" w:hAnsi="Times New Roman" w:cs="Times New Roman"/>
          <w:b/>
          <w:bCs/>
          <w:color w:val="505050"/>
          <w:sz w:val="36"/>
          <w:szCs w:val="36"/>
        </w:rPr>
      </w:pPr>
      <w:r w:rsidRPr="00676712">
        <w:rPr>
          <w:rFonts w:ascii="Times New Roman" w:eastAsia="Times New Roman" w:hAnsi="Times New Roman" w:cs="Times New Roman"/>
          <w:b/>
          <w:bCs/>
          <w:color w:val="505050"/>
          <w:sz w:val="36"/>
          <w:szCs w:val="36"/>
        </w:rPr>
        <w:t>Study design</w:t>
      </w:r>
    </w:p>
    <w:p w:rsidR="00676712" w:rsidRPr="00676712" w:rsidRDefault="00676712" w:rsidP="00676712">
      <w:pPr>
        <w:spacing w:after="0" w:line="390" w:lineRule="atLeast"/>
        <w:rPr>
          <w:rFonts w:ascii="Times New Roman" w:eastAsia="Times New Roman" w:hAnsi="Times New Roman" w:cs="Times New Roman"/>
          <w:color w:val="2E2E2E"/>
          <w:sz w:val="27"/>
          <w:szCs w:val="27"/>
        </w:rPr>
      </w:pPr>
      <w:r w:rsidRPr="00676712">
        <w:rPr>
          <w:rFonts w:ascii="Times New Roman" w:eastAsia="Times New Roman" w:hAnsi="Times New Roman" w:cs="Times New Roman"/>
          <w:color w:val="2E2E2E"/>
          <w:sz w:val="27"/>
          <w:szCs w:val="27"/>
        </w:rPr>
        <w:t xml:space="preserve">This prospective case-cohort study was conducted in two tertiary care hospitals of Dubai from April 1 until July 30, 2020 after approval from Dubai Scientific and Research Ethics Committee (DSREC-04/2020_7). 14 adult (aged ≥18 years) patients with critical COVID-19 (WHO severity classification of COVID-19: ARDS, sepsis </w:t>
      </w:r>
      <w:r w:rsidRPr="00676712">
        <w:rPr>
          <w:rFonts w:ascii="Times New Roman" w:eastAsia="Times New Roman" w:hAnsi="Times New Roman" w:cs="Times New Roman"/>
          <w:color w:val="2E2E2E"/>
          <w:sz w:val="27"/>
          <w:szCs w:val="27"/>
        </w:rPr>
        <w:lastRenderedPageBreak/>
        <w:t xml:space="preserve">and septic shock) requiring IMV and confirmed reverse transcriptase–polymerase chain reaction (RT-PCR) for severe acute respiratory syndrome coronavirus 2 (SARS-CoV-2) virus were enrolled in the study. Pregnant women and patients with suspected or confirmed pulmonary embolism were excluded from the study. Patients received a single session of TPE with a total of 30−40 ml/kg bodyweight (BW) of plasma exchange. Vascular access for TPE was secured through double lumen hemodialysis catheter in either the right internal jugular or femoral vein. Vascular access was removed 48 h after completion of TPE. Fresh frozen plasma (FFP) of a normal donor was used for replacement. All 14 patients were transfused 500 ml of ABO-compatible CP, eight hours after TPE. CP was obtained from patients (mean age, 38.1 years) who had previously recovered from COVID-19, demonstrated by two negative RT-PCR results, 24−48 h apart. The neutralizing antibody titer (IgG) for acceptance of plasma was measured using Abbott Architect CoV-2 IgG kit. This kit detects IgG immunoglobulins antibodies against </w:t>
      </w:r>
      <w:proofErr w:type="spellStart"/>
      <w:r w:rsidRPr="00676712">
        <w:rPr>
          <w:rFonts w:ascii="Times New Roman" w:eastAsia="Times New Roman" w:hAnsi="Times New Roman" w:cs="Times New Roman"/>
          <w:color w:val="2E2E2E"/>
          <w:sz w:val="27"/>
          <w:szCs w:val="27"/>
        </w:rPr>
        <w:t>nucleocapsid</w:t>
      </w:r>
      <w:proofErr w:type="spellEnd"/>
      <w:r w:rsidRPr="00676712">
        <w:rPr>
          <w:rFonts w:ascii="Times New Roman" w:eastAsia="Times New Roman" w:hAnsi="Times New Roman" w:cs="Times New Roman"/>
          <w:color w:val="2E2E2E"/>
          <w:sz w:val="27"/>
          <w:szCs w:val="27"/>
        </w:rPr>
        <w:t xml:space="preserve"> (N) protein of SARS-CoV-2 using High Throughput </w:t>
      </w:r>
      <w:proofErr w:type="spellStart"/>
      <w:r w:rsidRPr="00676712">
        <w:rPr>
          <w:rFonts w:ascii="Times New Roman" w:eastAsia="Times New Roman" w:hAnsi="Times New Roman" w:cs="Times New Roman"/>
          <w:color w:val="2E2E2E"/>
          <w:sz w:val="27"/>
          <w:szCs w:val="27"/>
        </w:rPr>
        <w:t>chemiluminescent</w:t>
      </w:r>
      <w:proofErr w:type="spellEnd"/>
      <w:r w:rsidRPr="00676712">
        <w:rPr>
          <w:rFonts w:ascii="Times New Roman" w:eastAsia="Times New Roman" w:hAnsi="Times New Roman" w:cs="Times New Roman"/>
          <w:color w:val="2E2E2E"/>
          <w:sz w:val="27"/>
          <w:szCs w:val="27"/>
        </w:rPr>
        <w:t xml:space="preserve"> </w:t>
      </w:r>
      <w:proofErr w:type="spellStart"/>
      <w:r w:rsidRPr="00676712">
        <w:rPr>
          <w:rFonts w:ascii="Times New Roman" w:eastAsia="Times New Roman" w:hAnsi="Times New Roman" w:cs="Times New Roman"/>
          <w:color w:val="2E2E2E"/>
          <w:sz w:val="27"/>
          <w:szCs w:val="27"/>
        </w:rPr>
        <w:t>microparticle</w:t>
      </w:r>
      <w:proofErr w:type="spellEnd"/>
      <w:r w:rsidRPr="00676712">
        <w:rPr>
          <w:rFonts w:ascii="Times New Roman" w:eastAsia="Times New Roman" w:hAnsi="Times New Roman" w:cs="Times New Roman"/>
          <w:color w:val="2E2E2E"/>
          <w:sz w:val="27"/>
          <w:szCs w:val="27"/>
        </w:rPr>
        <w:t xml:space="preserve"> immunoassay (CMIA). Result of the assay is interpreted as positive (ratio ≥1.4) or negative (ratio &lt;1.4). The test has 100% sensitivity and 99.6% specificity according to the United States Food and Drug administration (US-FDA) (</w:t>
      </w:r>
      <w:bookmarkStart w:id="7" w:name="bbib0010"/>
      <w:r w:rsidRPr="00676712">
        <w:rPr>
          <w:rFonts w:ascii="Times New Roman" w:eastAsia="Times New Roman" w:hAnsi="Times New Roman" w:cs="Times New Roman"/>
          <w:color w:val="2E2E2E"/>
          <w:sz w:val="27"/>
          <w:szCs w:val="27"/>
        </w:rPr>
        <w:fldChar w:fldCharType="begin"/>
      </w:r>
      <w:r w:rsidRPr="00676712">
        <w:rPr>
          <w:rFonts w:ascii="Times New Roman" w:eastAsia="Times New Roman" w:hAnsi="Times New Roman" w:cs="Times New Roman"/>
          <w:color w:val="2E2E2E"/>
          <w:sz w:val="27"/>
          <w:szCs w:val="27"/>
        </w:rPr>
        <w:instrText xml:space="preserve"> HYPERLINK "https://www.sciencedirect.com/science/article/pii/S120197122032289X" \l "bib0010" </w:instrText>
      </w:r>
      <w:r w:rsidRPr="00676712">
        <w:rPr>
          <w:rFonts w:ascii="Times New Roman" w:eastAsia="Times New Roman" w:hAnsi="Times New Roman" w:cs="Times New Roman"/>
          <w:color w:val="2E2E2E"/>
          <w:sz w:val="27"/>
          <w:szCs w:val="27"/>
        </w:rPr>
        <w:fldChar w:fldCharType="separate"/>
      </w:r>
      <w:r w:rsidRPr="00676712">
        <w:rPr>
          <w:rFonts w:ascii="Times New Roman" w:eastAsia="Times New Roman" w:hAnsi="Times New Roman" w:cs="Times New Roman"/>
          <w:color w:val="0C7DBB"/>
          <w:sz w:val="27"/>
          <w:szCs w:val="27"/>
          <w:u w:val="single"/>
        </w:rPr>
        <w:t>FDA, 2020</w:t>
      </w:r>
      <w:r w:rsidRPr="00676712">
        <w:rPr>
          <w:rFonts w:ascii="Times New Roman" w:eastAsia="Times New Roman" w:hAnsi="Times New Roman" w:cs="Times New Roman"/>
          <w:color w:val="2E2E2E"/>
          <w:sz w:val="27"/>
          <w:szCs w:val="27"/>
        </w:rPr>
        <w:fldChar w:fldCharType="end"/>
      </w:r>
      <w:bookmarkEnd w:id="7"/>
      <w:r w:rsidRPr="00676712">
        <w:rPr>
          <w:rFonts w:ascii="Times New Roman" w:eastAsia="Times New Roman" w:hAnsi="Times New Roman" w:cs="Times New Roman"/>
          <w:color w:val="2E2E2E"/>
          <w:sz w:val="27"/>
          <w:szCs w:val="27"/>
        </w:rPr>
        <w:t>).</w:t>
      </w:r>
    </w:p>
    <w:p w:rsidR="00676712" w:rsidRPr="00676712" w:rsidRDefault="00676712" w:rsidP="00676712">
      <w:pPr>
        <w:spacing w:after="0" w:line="390" w:lineRule="atLeast"/>
        <w:rPr>
          <w:rFonts w:ascii="Times New Roman" w:eastAsia="Times New Roman" w:hAnsi="Times New Roman" w:cs="Times New Roman"/>
          <w:color w:val="2E2E2E"/>
          <w:sz w:val="27"/>
          <w:szCs w:val="27"/>
        </w:rPr>
      </w:pPr>
      <w:r w:rsidRPr="00676712">
        <w:rPr>
          <w:rFonts w:ascii="Times New Roman" w:eastAsia="Times New Roman" w:hAnsi="Times New Roman" w:cs="Times New Roman"/>
          <w:color w:val="2E2E2E"/>
          <w:sz w:val="27"/>
          <w:szCs w:val="27"/>
        </w:rPr>
        <w:t xml:space="preserve">The enoxaparin at 1 mg/kg subcutaneous every 12 h and injection methylprednisolone at 1 mg/kg/day was used in all patients. The clinical and laboratory data on baseline demographics, co-morbidities, symptoms, interval between symptoms to sequential therapy, and negative RT-PCR were collected. The outcomes measured were day 7 and day 28 mortality, length of stay (LOS) on IMV, intensive care unit (ICU) or hospital and time to tracheal </w:t>
      </w:r>
      <w:proofErr w:type="spellStart"/>
      <w:r w:rsidRPr="00676712">
        <w:rPr>
          <w:rFonts w:ascii="Times New Roman" w:eastAsia="Times New Roman" w:hAnsi="Times New Roman" w:cs="Times New Roman"/>
          <w:color w:val="2E2E2E"/>
          <w:sz w:val="27"/>
          <w:szCs w:val="27"/>
        </w:rPr>
        <w:t>extubation</w:t>
      </w:r>
      <w:proofErr w:type="spellEnd"/>
      <w:r w:rsidRPr="00676712">
        <w:rPr>
          <w:rFonts w:ascii="Times New Roman" w:eastAsia="Times New Roman" w:hAnsi="Times New Roman" w:cs="Times New Roman"/>
          <w:color w:val="2E2E2E"/>
          <w:sz w:val="27"/>
          <w:szCs w:val="27"/>
        </w:rPr>
        <w:t xml:space="preserve"> after therapy. PaO</w:t>
      </w:r>
      <w:r w:rsidRPr="00676712">
        <w:rPr>
          <w:rFonts w:ascii="Times New Roman" w:eastAsia="Times New Roman" w:hAnsi="Times New Roman" w:cs="Times New Roman"/>
          <w:color w:val="2E2E2E"/>
          <w:sz w:val="20"/>
          <w:szCs w:val="20"/>
          <w:vertAlign w:val="subscript"/>
        </w:rPr>
        <w:t>2</w:t>
      </w:r>
      <w:r w:rsidRPr="00676712">
        <w:rPr>
          <w:rFonts w:ascii="Times New Roman" w:eastAsia="Times New Roman" w:hAnsi="Times New Roman" w:cs="Times New Roman"/>
          <w:color w:val="2E2E2E"/>
          <w:sz w:val="27"/>
          <w:szCs w:val="27"/>
        </w:rPr>
        <w:t>/FiO</w:t>
      </w:r>
      <w:r w:rsidRPr="00676712">
        <w:rPr>
          <w:rFonts w:ascii="Times New Roman" w:eastAsia="Times New Roman" w:hAnsi="Times New Roman" w:cs="Times New Roman"/>
          <w:color w:val="2E2E2E"/>
          <w:sz w:val="20"/>
          <w:szCs w:val="20"/>
          <w:vertAlign w:val="subscript"/>
        </w:rPr>
        <w:t>2</w:t>
      </w:r>
      <w:r w:rsidRPr="00676712">
        <w:rPr>
          <w:rFonts w:ascii="Times New Roman" w:eastAsia="Times New Roman" w:hAnsi="Times New Roman" w:cs="Times New Roman"/>
          <w:color w:val="2E2E2E"/>
          <w:sz w:val="27"/>
          <w:szCs w:val="27"/>
        </w:rPr>
        <w:t> ratio and inflammatory markers (C-reactive protein (CRP), ferritin, lactate dehydrogenase (LDH) and </w:t>
      </w:r>
      <w:r w:rsidRPr="00676712">
        <w:rPr>
          <w:rFonts w:ascii="Times New Roman" w:eastAsia="Times New Roman" w:hAnsi="Times New Roman" w:cs="Times New Roman"/>
          <w:smallCaps/>
          <w:color w:val="2E2E2E"/>
          <w:sz w:val="27"/>
          <w:szCs w:val="27"/>
        </w:rPr>
        <w:t>d</w:t>
      </w:r>
      <w:r w:rsidRPr="00676712">
        <w:rPr>
          <w:rFonts w:ascii="Times New Roman" w:eastAsia="Times New Roman" w:hAnsi="Times New Roman" w:cs="Times New Roman"/>
          <w:color w:val="2E2E2E"/>
          <w:sz w:val="27"/>
          <w:szCs w:val="27"/>
        </w:rPr>
        <w:t>-dimer) were also collected before, at 12 h, at 24 h and until seven days after sequential therapy. All patients were observed for any immediate complications during TPE or CP and any secondary infection up until 14 days after sequential therapy.</w:t>
      </w:r>
    </w:p>
    <w:p w:rsidR="00676712" w:rsidRPr="00676712" w:rsidRDefault="00676712" w:rsidP="00676712">
      <w:pPr>
        <w:spacing w:after="0" w:line="390" w:lineRule="atLeast"/>
        <w:rPr>
          <w:rFonts w:ascii="Times New Roman" w:eastAsia="Times New Roman" w:hAnsi="Times New Roman" w:cs="Times New Roman"/>
          <w:color w:val="2E2E2E"/>
          <w:sz w:val="27"/>
          <w:szCs w:val="27"/>
        </w:rPr>
      </w:pPr>
      <w:r w:rsidRPr="00676712">
        <w:rPr>
          <w:rFonts w:ascii="Times New Roman" w:eastAsia="Times New Roman" w:hAnsi="Times New Roman" w:cs="Times New Roman"/>
          <w:color w:val="2E2E2E"/>
          <w:sz w:val="27"/>
          <w:szCs w:val="27"/>
        </w:rPr>
        <w:t>Mean [±standard deviation (SD)] and median (range) were used for continuous variables. Student's unpaired </w:t>
      </w:r>
      <w:r w:rsidRPr="00676712">
        <w:rPr>
          <w:rFonts w:ascii="Times New Roman" w:eastAsia="Times New Roman" w:hAnsi="Times New Roman" w:cs="Times New Roman"/>
          <w:i/>
          <w:iCs/>
          <w:color w:val="2E2E2E"/>
          <w:sz w:val="27"/>
          <w:szCs w:val="27"/>
        </w:rPr>
        <w:t>t</w:t>
      </w:r>
      <w:r w:rsidRPr="00676712">
        <w:rPr>
          <w:rFonts w:ascii="Times New Roman" w:eastAsia="Times New Roman" w:hAnsi="Times New Roman" w:cs="Times New Roman"/>
          <w:color w:val="2E2E2E"/>
          <w:sz w:val="27"/>
          <w:szCs w:val="27"/>
        </w:rPr>
        <w:t>-test was used for comparison of variables before and after sequential therapy.</w:t>
      </w:r>
    </w:p>
    <w:p w:rsidR="00676712" w:rsidRPr="00676712" w:rsidRDefault="00676712" w:rsidP="00676712">
      <w:pPr>
        <w:spacing w:before="100" w:beforeAutospacing="1" w:after="100" w:afterAutospacing="1" w:line="390" w:lineRule="atLeast"/>
        <w:outlineLvl w:val="1"/>
        <w:rPr>
          <w:rFonts w:ascii="Times New Roman" w:eastAsia="Times New Roman" w:hAnsi="Times New Roman" w:cs="Times New Roman"/>
          <w:b/>
          <w:bCs/>
          <w:color w:val="505050"/>
          <w:sz w:val="36"/>
          <w:szCs w:val="36"/>
        </w:rPr>
      </w:pPr>
      <w:r w:rsidRPr="00676712">
        <w:rPr>
          <w:rFonts w:ascii="Times New Roman" w:eastAsia="Times New Roman" w:hAnsi="Times New Roman" w:cs="Times New Roman"/>
          <w:b/>
          <w:bCs/>
          <w:color w:val="505050"/>
          <w:sz w:val="36"/>
          <w:szCs w:val="36"/>
        </w:rPr>
        <w:lastRenderedPageBreak/>
        <w:t>Results and discussion</w:t>
      </w:r>
    </w:p>
    <w:p w:rsidR="00676712" w:rsidRPr="00676712" w:rsidRDefault="00676712" w:rsidP="00676712">
      <w:pPr>
        <w:spacing w:after="240" w:line="390" w:lineRule="atLeast"/>
        <w:rPr>
          <w:rFonts w:ascii="Times New Roman" w:eastAsia="Times New Roman" w:hAnsi="Times New Roman" w:cs="Times New Roman"/>
          <w:color w:val="2E2E2E"/>
          <w:sz w:val="27"/>
          <w:szCs w:val="27"/>
        </w:rPr>
      </w:pPr>
      <w:r w:rsidRPr="00676712">
        <w:rPr>
          <w:rFonts w:ascii="Times New Roman" w:eastAsia="Times New Roman" w:hAnsi="Times New Roman" w:cs="Times New Roman"/>
          <w:color w:val="2E2E2E"/>
          <w:sz w:val="27"/>
          <w:szCs w:val="27"/>
        </w:rPr>
        <w:t>To our knowledge this is the first case series on sequential use of TPE and CP for the management of critical COVID-19.</w:t>
      </w:r>
    </w:p>
    <w:p w:rsidR="00676712" w:rsidRPr="00676712" w:rsidRDefault="00676712" w:rsidP="00676712">
      <w:pPr>
        <w:spacing w:after="0" w:line="390" w:lineRule="atLeast"/>
        <w:rPr>
          <w:rFonts w:ascii="Times New Roman" w:eastAsia="Times New Roman" w:hAnsi="Times New Roman" w:cs="Times New Roman"/>
          <w:color w:val="2E2E2E"/>
          <w:sz w:val="27"/>
          <w:szCs w:val="27"/>
        </w:rPr>
      </w:pPr>
      <w:r w:rsidRPr="00676712">
        <w:rPr>
          <w:rFonts w:ascii="Times New Roman" w:eastAsia="Times New Roman" w:hAnsi="Times New Roman" w:cs="Times New Roman"/>
          <w:color w:val="2E2E2E"/>
          <w:sz w:val="27"/>
          <w:szCs w:val="27"/>
        </w:rPr>
        <w:t>The median age was 51 (range 28−65) years; 78.6% were male (</w:t>
      </w:r>
      <w:bookmarkStart w:id="8" w:name="btbl0005"/>
      <w:r w:rsidRPr="00676712">
        <w:rPr>
          <w:rFonts w:ascii="Times New Roman" w:eastAsia="Times New Roman" w:hAnsi="Times New Roman" w:cs="Times New Roman"/>
          <w:color w:val="2E2E2E"/>
          <w:sz w:val="27"/>
          <w:szCs w:val="27"/>
        </w:rPr>
        <w:fldChar w:fldCharType="begin"/>
      </w:r>
      <w:r w:rsidRPr="00676712">
        <w:rPr>
          <w:rFonts w:ascii="Times New Roman" w:eastAsia="Times New Roman" w:hAnsi="Times New Roman" w:cs="Times New Roman"/>
          <w:color w:val="2E2E2E"/>
          <w:sz w:val="27"/>
          <w:szCs w:val="27"/>
        </w:rPr>
        <w:instrText xml:space="preserve"> HYPERLINK "https://www.sciencedirect.com/science/article/pii/S120197122032289X" \l "tbl0005" </w:instrText>
      </w:r>
      <w:r w:rsidRPr="00676712">
        <w:rPr>
          <w:rFonts w:ascii="Times New Roman" w:eastAsia="Times New Roman" w:hAnsi="Times New Roman" w:cs="Times New Roman"/>
          <w:color w:val="2E2E2E"/>
          <w:sz w:val="27"/>
          <w:szCs w:val="27"/>
        </w:rPr>
        <w:fldChar w:fldCharType="separate"/>
      </w:r>
      <w:r w:rsidRPr="00676712">
        <w:rPr>
          <w:rFonts w:ascii="Times New Roman" w:eastAsia="Times New Roman" w:hAnsi="Times New Roman" w:cs="Times New Roman"/>
          <w:color w:val="0C7DBB"/>
          <w:sz w:val="27"/>
          <w:szCs w:val="27"/>
          <w:u w:val="single"/>
        </w:rPr>
        <w:t>Table 1</w:t>
      </w:r>
      <w:r w:rsidRPr="00676712">
        <w:rPr>
          <w:rFonts w:ascii="Times New Roman" w:eastAsia="Times New Roman" w:hAnsi="Times New Roman" w:cs="Times New Roman"/>
          <w:color w:val="2E2E2E"/>
          <w:sz w:val="27"/>
          <w:szCs w:val="27"/>
        </w:rPr>
        <w:fldChar w:fldCharType="end"/>
      </w:r>
      <w:r w:rsidRPr="00676712">
        <w:rPr>
          <w:rFonts w:ascii="Times New Roman" w:eastAsia="Times New Roman" w:hAnsi="Times New Roman" w:cs="Times New Roman"/>
          <w:color w:val="2E2E2E"/>
          <w:sz w:val="27"/>
          <w:szCs w:val="27"/>
        </w:rPr>
        <w:t>). The patients were obese with a median body mass index (BMI) of 32.5 (24−41) kg/m</w:t>
      </w:r>
      <w:r w:rsidRPr="00676712">
        <w:rPr>
          <w:rFonts w:ascii="Times New Roman" w:eastAsia="Times New Roman" w:hAnsi="Times New Roman" w:cs="Times New Roman"/>
          <w:color w:val="2E2E2E"/>
          <w:sz w:val="20"/>
          <w:szCs w:val="20"/>
          <w:vertAlign w:val="superscript"/>
        </w:rPr>
        <w:t>2</w:t>
      </w:r>
      <w:r w:rsidRPr="00676712">
        <w:rPr>
          <w:rFonts w:ascii="Times New Roman" w:eastAsia="Times New Roman" w:hAnsi="Times New Roman" w:cs="Times New Roman"/>
          <w:color w:val="2E2E2E"/>
          <w:sz w:val="27"/>
          <w:szCs w:val="27"/>
        </w:rPr>
        <w:t>. Co-morbidities were present in 10 (71.4%) patients, with hypertension (64.2%) being most common. All patients were on IMV with a mean PaO</w:t>
      </w:r>
      <w:r w:rsidRPr="00676712">
        <w:rPr>
          <w:rFonts w:ascii="Times New Roman" w:eastAsia="Times New Roman" w:hAnsi="Times New Roman" w:cs="Times New Roman"/>
          <w:color w:val="2E2E2E"/>
          <w:sz w:val="20"/>
          <w:szCs w:val="20"/>
          <w:vertAlign w:val="subscript"/>
        </w:rPr>
        <w:t>2</w:t>
      </w:r>
      <w:r w:rsidRPr="00676712">
        <w:rPr>
          <w:rFonts w:ascii="Times New Roman" w:eastAsia="Times New Roman" w:hAnsi="Times New Roman" w:cs="Times New Roman"/>
          <w:color w:val="2E2E2E"/>
          <w:sz w:val="27"/>
          <w:szCs w:val="27"/>
        </w:rPr>
        <w:t>/FiO</w:t>
      </w:r>
      <w:r w:rsidRPr="00676712">
        <w:rPr>
          <w:rFonts w:ascii="Times New Roman" w:eastAsia="Times New Roman" w:hAnsi="Times New Roman" w:cs="Times New Roman"/>
          <w:color w:val="2E2E2E"/>
          <w:sz w:val="20"/>
          <w:szCs w:val="20"/>
          <w:vertAlign w:val="subscript"/>
        </w:rPr>
        <w:t>2</w:t>
      </w:r>
      <w:r w:rsidRPr="00676712">
        <w:rPr>
          <w:rFonts w:ascii="Times New Roman" w:eastAsia="Times New Roman" w:hAnsi="Times New Roman" w:cs="Times New Roman"/>
          <w:color w:val="2E2E2E"/>
          <w:sz w:val="27"/>
          <w:szCs w:val="27"/>
        </w:rPr>
        <w:t> ratio of 138.89 (±41.90) mm of Hg before sequential therapy. The therapy was administered 9 (6−21) days from the onset of symptoms. An improvement in symptoms (resolution of fever) and decrease in inflammatory markers (CRP, LDH, </w:t>
      </w:r>
      <w:r w:rsidRPr="00676712">
        <w:rPr>
          <w:rFonts w:ascii="Times New Roman" w:eastAsia="Times New Roman" w:hAnsi="Times New Roman" w:cs="Times New Roman"/>
          <w:smallCaps/>
          <w:color w:val="2E2E2E"/>
          <w:sz w:val="27"/>
          <w:szCs w:val="27"/>
        </w:rPr>
        <w:t>d</w:t>
      </w:r>
      <w:r w:rsidRPr="00676712">
        <w:rPr>
          <w:rFonts w:ascii="Times New Roman" w:eastAsia="Times New Roman" w:hAnsi="Times New Roman" w:cs="Times New Roman"/>
          <w:color w:val="2E2E2E"/>
          <w:sz w:val="27"/>
          <w:szCs w:val="27"/>
        </w:rPr>
        <w:t>-dimer and ferritin) were observed in all 14 patients with significant decrease in CRP (p = 0.03) (</w:t>
      </w:r>
      <w:hyperlink r:id="rId5" w:anchor="tbl0005" w:history="1">
        <w:r w:rsidRPr="00676712">
          <w:rPr>
            <w:rFonts w:ascii="Times New Roman" w:eastAsia="Times New Roman" w:hAnsi="Times New Roman" w:cs="Times New Roman"/>
            <w:color w:val="0C7DBB"/>
            <w:sz w:val="27"/>
            <w:szCs w:val="27"/>
            <w:u w:val="single"/>
          </w:rPr>
          <w:t>Table 1</w:t>
        </w:r>
      </w:hyperlink>
      <w:bookmarkEnd w:id="8"/>
      <w:r w:rsidRPr="00676712">
        <w:rPr>
          <w:rFonts w:ascii="Times New Roman" w:eastAsia="Times New Roman" w:hAnsi="Times New Roman" w:cs="Times New Roman"/>
          <w:color w:val="2E2E2E"/>
          <w:sz w:val="27"/>
          <w:szCs w:val="27"/>
        </w:rPr>
        <w:t>). Day 7 and Day 28 mortality were 21.4% and 28.6% respectively. The time from sequential therapy to negative RT-PCR was 8 (3−18) days. 10 patients were liberated from IMV with a median duration of 8 (6–36) days and 5.5 (3–36) days post sequential therapy. Median ICU and hospital LOS were 12 (5−42) days and 18 (12−47) days respectively. Five (35.7%) patients had acute kidney injury, and two patients require renal replacement therapy, both of whom died.</w:t>
      </w:r>
    </w:p>
    <w:p w:rsidR="00676712" w:rsidRDefault="00676712"/>
    <w:p w:rsidR="00676712" w:rsidRPr="00676712" w:rsidRDefault="00676712" w:rsidP="00676712">
      <w:pPr>
        <w:spacing w:line="330" w:lineRule="atLeast"/>
        <w:ind w:left="360" w:right="360"/>
        <w:rPr>
          <w:rFonts w:ascii="Georgia" w:eastAsia="Times New Roman" w:hAnsi="Georgia" w:cs="Times New Roman"/>
          <w:color w:val="323232"/>
          <w:sz w:val="24"/>
          <w:szCs w:val="24"/>
        </w:rPr>
      </w:pPr>
      <w:r w:rsidRPr="00676712">
        <w:rPr>
          <w:rFonts w:ascii="Georgia" w:eastAsia="Times New Roman" w:hAnsi="Georgia" w:cs="Times New Roman"/>
          <w:color w:val="323232"/>
          <w:sz w:val="21"/>
          <w:szCs w:val="21"/>
        </w:rPr>
        <w:t>Table 1</w:t>
      </w:r>
      <w:r w:rsidRPr="00676712">
        <w:rPr>
          <w:rFonts w:ascii="Georgia" w:eastAsia="Times New Roman" w:hAnsi="Georgia" w:cs="Times New Roman"/>
          <w:color w:val="323232"/>
          <w:sz w:val="24"/>
          <w:szCs w:val="24"/>
        </w:rPr>
        <w:t>. Demographics, Inflammatory markers, treatment and outcomes measured in 14 patients.</w:t>
      </w:r>
    </w:p>
    <w:tbl>
      <w:tblPr>
        <w:tblW w:w="9840" w:type="dxa"/>
        <w:tblBorders>
          <w:top w:val="single" w:sz="6" w:space="0" w:color="EBEBEB"/>
          <w:bottom w:val="single" w:sz="6" w:space="0" w:color="EBEBEB"/>
        </w:tblBorders>
        <w:tblCellMar>
          <w:left w:w="0" w:type="dxa"/>
          <w:right w:w="0" w:type="dxa"/>
        </w:tblCellMar>
        <w:tblLook w:val="04A0" w:firstRow="1" w:lastRow="0" w:firstColumn="1" w:lastColumn="0" w:noHBand="0" w:noVBand="1"/>
      </w:tblPr>
      <w:tblGrid>
        <w:gridCol w:w="5712"/>
        <w:gridCol w:w="4128"/>
      </w:tblGrid>
      <w:tr w:rsidR="00676712" w:rsidRPr="00676712" w:rsidTr="00676712">
        <w:trPr>
          <w:tblHeader/>
        </w:trPr>
        <w:tc>
          <w:tcPr>
            <w:tcW w:w="0" w:type="auto"/>
            <w:tcBorders>
              <w:bottom w:val="single" w:sz="6" w:space="0" w:color="EBEBEB"/>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Georgia" w:eastAsia="Times New Roman" w:hAnsi="Georgia" w:cs="Times New Roman"/>
                <w:color w:val="323232"/>
                <w:sz w:val="24"/>
                <w:szCs w:val="24"/>
              </w:rPr>
            </w:pPr>
          </w:p>
        </w:tc>
        <w:tc>
          <w:tcPr>
            <w:tcW w:w="0" w:type="auto"/>
            <w:tcBorders>
              <w:bottom w:val="single" w:sz="6" w:space="0" w:color="EBEBEB"/>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b/>
                <w:bCs/>
                <w:sz w:val="21"/>
                <w:szCs w:val="21"/>
              </w:rPr>
            </w:pPr>
            <w:r w:rsidRPr="00676712">
              <w:rPr>
                <w:rFonts w:ascii="Times New Roman" w:eastAsia="Times New Roman" w:hAnsi="Times New Roman" w:cs="Times New Roman"/>
                <w:b/>
                <w:bCs/>
                <w:sz w:val="21"/>
                <w:szCs w:val="21"/>
              </w:rPr>
              <w:t>Proportion- Mean(±SD), Median(range)</w:t>
            </w:r>
          </w:p>
        </w:tc>
      </w:tr>
      <w:tr w:rsidR="00676712" w:rsidRPr="00676712" w:rsidTr="00676712">
        <w:tc>
          <w:tcPr>
            <w:tcW w:w="0" w:type="auto"/>
            <w:gridSpan w:val="2"/>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b/>
                <w:bCs/>
                <w:sz w:val="21"/>
                <w:szCs w:val="21"/>
              </w:rPr>
            </w:pPr>
            <w:r w:rsidRPr="00676712">
              <w:rPr>
                <w:rFonts w:ascii="Times New Roman" w:eastAsia="Times New Roman" w:hAnsi="Times New Roman" w:cs="Times New Roman"/>
                <w:b/>
                <w:bCs/>
                <w:sz w:val="21"/>
                <w:szCs w:val="21"/>
              </w:rPr>
              <w:t>Demographics</w:t>
            </w:r>
          </w:p>
        </w:tc>
      </w:tr>
      <w:tr w:rsidR="00676712" w:rsidRPr="00676712" w:rsidTr="00676712">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b/>
                <w:bCs/>
                <w:sz w:val="21"/>
                <w:szCs w:val="21"/>
              </w:rPr>
            </w:pPr>
            <w:r w:rsidRPr="00676712">
              <w:rPr>
                <w:rFonts w:ascii="Times New Roman" w:eastAsia="Times New Roman" w:hAnsi="Times New Roman" w:cs="Times New Roman"/>
                <w:b/>
                <w:bCs/>
                <w:sz w:val="21"/>
                <w:szCs w:val="21"/>
              </w:rPr>
              <w:t>Age (years)</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sz w:val="21"/>
                <w:szCs w:val="21"/>
              </w:rPr>
              <w:t>Mean-49.14 (±12.50), Median-51.5 (28−65)</w:t>
            </w:r>
          </w:p>
        </w:tc>
      </w:tr>
      <w:tr w:rsidR="00676712" w:rsidRPr="00676712" w:rsidTr="00676712">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b/>
                <w:bCs/>
                <w:sz w:val="21"/>
                <w:szCs w:val="21"/>
              </w:rPr>
            </w:pPr>
            <w:r w:rsidRPr="00676712">
              <w:rPr>
                <w:rFonts w:ascii="Times New Roman" w:eastAsia="Times New Roman" w:hAnsi="Times New Roman" w:cs="Times New Roman"/>
                <w:b/>
                <w:bCs/>
                <w:sz w:val="21"/>
                <w:szCs w:val="21"/>
              </w:rPr>
              <w:t>Gender</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sz w:val="21"/>
                <w:szCs w:val="21"/>
              </w:rPr>
              <w:t>Male-11(78.6%), Female-3(21.4%)</w:t>
            </w:r>
          </w:p>
        </w:tc>
      </w:tr>
      <w:tr w:rsidR="00676712" w:rsidRPr="00676712" w:rsidTr="00676712">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b/>
                <w:bCs/>
                <w:sz w:val="21"/>
                <w:szCs w:val="21"/>
              </w:rPr>
            </w:pPr>
            <w:r w:rsidRPr="00676712">
              <w:rPr>
                <w:rFonts w:ascii="Times New Roman" w:eastAsia="Times New Roman" w:hAnsi="Times New Roman" w:cs="Times New Roman"/>
                <w:b/>
                <w:bCs/>
                <w:sz w:val="21"/>
                <w:szCs w:val="21"/>
              </w:rPr>
              <w:t>BMI (kg/m</w:t>
            </w:r>
            <w:r w:rsidRPr="00676712">
              <w:rPr>
                <w:rFonts w:ascii="Times New Roman" w:eastAsia="Times New Roman" w:hAnsi="Times New Roman" w:cs="Times New Roman"/>
                <w:b/>
                <w:bCs/>
                <w:sz w:val="16"/>
                <w:szCs w:val="16"/>
                <w:vertAlign w:val="superscript"/>
              </w:rPr>
              <w:t>2</w:t>
            </w:r>
            <w:r w:rsidRPr="00676712">
              <w:rPr>
                <w:rFonts w:ascii="Times New Roman" w:eastAsia="Times New Roman" w:hAnsi="Times New Roman" w:cs="Times New Roman"/>
                <w:b/>
                <w:bCs/>
                <w:sz w:val="21"/>
                <w:szCs w:val="21"/>
              </w:rPr>
              <w:t>)</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sz w:val="21"/>
                <w:szCs w:val="21"/>
              </w:rPr>
              <w:t>Mean-29.66 (±4.99), Median 32.5 (24−41)</w:t>
            </w:r>
          </w:p>
        </w:tc>
      </w:tr>
      <w:tr w:rsidR="00676712" w:rsidRPr="00676712" w:rsidTr="00676712">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b/>
                <w:bCs/>
                <w:sz w:val="21"/>
                <w:szCs w:val="21"/>
              </w:rPr>
            </w:pPr>
            <w:r w:rsidRPr="00676712">
              <w:rPr>
                <w:rFonts w:ascii="Times New Roman" w:eastAsia="Times New Roman" w:hAnsi="Times New Roman" w:cs="Times New Roman"/>
                <w:b/>
                <w:bCs/>
                <w:sz w:val="21"/>
                <w:szCs w:val="21"/>
              </w:rPr>
              <w:t>Comorbidities</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sz w:val="21"/>
                <w:szCs w:val="21"/>
              </w:rPr>
              <w:t>10(57.1%)</w:t>
            </w:r>
          </w:p>
        </w:tc>
      </w:tr>
      <w:tr w:rsidR="00676712" w:rsidRPr="00676712" w:rsidTr="00676712">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b/>
                <w:bCs/>
                <w:sz w:val="21"/>
                <w:szCs w:val="21"/>
              </w:rPr>
            </w:pPr>
            <w:r w:rsidRPr="00676712">
              <w:rPr>
                <w:rFonts w:ascii="Times New Roman" w:eastAsia="Times New Roman" w:hAnsi="Times New Roman" w:cs="Times New Roman"/>
                <w:b/>
                <w:bCs/>
                <w:sz w:val="21"/>
                <w:szCs w:val="21"/>
              </w:rPr>
              <w:t>Interval between symptoms onset to sequential therapy (days)</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sz w:val="21"/>
                <w:szCs w:val="21"/>
              </w:rPr>
              <w:t>Mean = 16.93 (±9.40), Median 9 (6−21)</w:t>
            </w:r>
          </w:p>
        </w:tc>
      </w:tr>
      <w:tr w:rsidR="00676712" w:rsidRPr="00676712" w:rsidTr="00676712">
        <w:tc>
          <w:tcPr>
            <w:tcW w:w="0" w:type="auto"/>
            <w:gridSpan w:val="2"/>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b/>
                <w:bCs/>
                <w:sz w:val="21"/>
                <w:szCs w:val="21"/>
              </w:rPr>
            </w:pPr>
          </w:p>
        </w:tc>
      </w:tr>
      <w:tr w:rsidR="00676712" w:rsidRPr="00676712" w:rsidTr="00676712">
        <w:tc>
          <w:tcPr>
            <w:tcW w:w="0" w:type="auto"/>
            <w:gridSpan w:val="2"/>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b/>
                <w:bCs/>
                <w:sz w:val="21"/>
                <w:szCs w:val="21"/>
              </w:rPr>
            </w:pPr>
            <w:r w:rsidRPr="00676712">
              <w:rPr>
                <w:rFonts w:ascii="Times New Roman" w:eastAsia="Times New Roman" w:hAnsi="Times New Roman" w:cs="Times New Roman"/>
                <w:b/>
                <w:bCs/>
                <w:sz w:val="21"/>
                <w:szCs w:val="21"/>
              </w:rPr>
              <w:t>Treatment</w:t>
            </w:r>
          </w:p>
        </w:tc>
      </w:tr>
      <w:tr w:rsidR="00676712" w:rsidRPr="00676712" w:rsidTr="00676712">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b/>
                <w:bCs/>
                <w:sz w:val="21"/>
                <w:szCs w:val="21"/>
              </w:rPr>
            </w:pPr>
            <w:r w:rsidRPr="00676712">
              <w:rPr>
                <w:rFonts w:ascii="Times New Roman" w:eastAsia="Times New Roman" w:hAnsi="Times New Roman" w:cs="Times New Roman"/>
                <w:b/>
                <w:bCs/>
                <w:sz w:val="21"/>
                <w:szCs w:val="21"/>
              </w:rPr>
              <w:t> Anti-viral agent</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sz w:val="21"/>
                <w:szCs w:val="21"/>
              </w:rPr>
              <w:t xml:space="preserve">HCQ -35.7%, Favipiravir- 42.9%, </w:t>
            </w:r>
            <w:proofErr w:type="spellStart"/>
            <w:r w:rsidRPr="00676712">
              <w:rPr>
                <w:rFonts w:ascii="Times New Roman" w:eastAsia="Times New Roman" w:hAnsi="Times New Roman" w:cs="Times New Roman"/>
                <w:sz w:val="21"/>
                <w:szCs w:val="21"/>
              </w:rPr>
              <w:t>Lopinavir</w:t>
            </w:r>
            <w:proofErr w:type="spellEnd"/>
            <w:r w:rsidRPr="00676712">
              <w:rPr>
                <w:rFonts w:ascii="Times New Roman" w:eastAsia="Times New Roman" w:hAnsi="Times New Roman" w:cs="Times New Roman"/>
                <w:sz w:val="21"/>
                <w:szCs w:val="21"/>
              </w:rPr>
              <w:t>/ritonavir-71%</w:t>
            </w:r>
          </w:p>
        </w:tc>
      </w:tr>
      <w:tr w:rsidR="00676712" w:rsidRPr="00676712" w:rsidTr="00676712">
        <w:tc>
          <w:tcPr>
            <w:tcW w:w="0" w:type="auto"/>
            <w:gridSpan w:val="2"/>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b/>
                <w:bCs/>
                <w:sz w:val="21"/>
                <w:szCs w:val="21"/>
              </w:rPr>
            </w:pPr>
          </w:p>
        </w:tc>
      </w:tr>
      <w:tr w:rsidR="00676712" w:rsidRPr="00676712" w:rsidTr="00676712">
        <w:tc>
          <w:tcPr>
            <w:tcW w:w="0" w:type="auto"/>
            <w:gridSpan w:val="2"/>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b/>
                <w:bCs/>
                <w:sz w:val="21"/>
                <w:szCs w:val="21"/>
              </w:rPr>
            </w:pPr>
            <w:r w:rsidRPr="00676712">
              <w:rPr>
                <w:rFonts w:ascii="Times New Roman" w:eastAsia="Times New Roman" w:hAnsi="Times New Roman" w:cs="Times New Roman"/>
                <w:b/>
                <w:bCs/>
                <w:sz w:val="21"/>
                <w:szCs w:val="21"/>
              </w:rPr>
              <w:t>Outcomes</w:t>
            </w:r>
          </w:p>
        </w:tc>
      </w:tr>
      <w:tr w:rsidR="00676712" w:rsidRPr="00676712" w:rsidTr="00676712">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b/>
                <w:bCs/>
                <w:sz w:val="21"/>
                <w:szCs w:val="21"/>
              </w:rPr>
            </w:pPr>
            <w:r w:rsidRPr="00676712">
              <w:rPr>
                <w:rFonts w:ascii="Times New Roman" w:eastAsia="Times New Roman" w:hAnsi="Times New Roman" w:cs="Times New Roman"/>
                <w:b/>
                <w:bCs/>
                <w:sz w:val="21"/>
                <w:szCs w:val="21"/>
              </w:rPr>
              <w:t>Day 7 Mortality</w:t>
            </w:r>
            <w:r w:rsidRPr="00676712">
              <w:rPr>
                <w:rFonts w:ascii="Times New Roman" w:eastAsia="Times New Roman" w:hAnsi="Times New Roman" w:cs="Times New Roman"/>
                <w:b/>
                <w:bCs/>
                <w:sz w:val="21"/>
                <w:szCs w:val="21"/>
              </w:rPr>
              <w:br/>
              <w:t>Day 28 mortality</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sz w:val="21"/>
                <w:szCs w:val="21"/>
              </w:rPr>
              <w:t>3 (21.4%)</w:t>
            </w:r>
            <w:r w:rsidRPr="00676712">
              <w:rPr>
                <w:rFonts w:ascii="Times New Roman" w:eastAsia="Times New Roman" w:hAnsi="Times New Roman" w:cs="Times New Roman"/>
                <w:sz w:val="21"/>
                <w:szCs w:val="21"/>
              </w:rPr>
              <w:br/>
              <w:t>4 (28.6%)</w:t>
            </w:r>
          </w:p>
        </w:tc>
      </w:tr>
      <w:tr w:rsidR="00676712" w:rsidRPr="00676712" w:rsidTr="00676712">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b/>
                <w:bCs/>
                <w:sz w:val="21"/>
                <w:szCs w:val="21"/>
              </w:rPr>
            </w:pPr>
            <w:r w:rsidRPr="00676712">
              <w:rPr>
                <w:rFonts w:ascii="Times New Roman" w:eastAsia="Times New Roman" w:hAnsi="Times New Roman" w:cs="Times New Roman"/>
                <w:b/>
                <w:bCs/>
                <w:sz w:val="21"/>
                <w:szCs w:val="21"/>
              </w:rPr>
              <w:t>Complications (Hypotension)</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sz w:val="21"/>
                <w:szCs w:val="21"/>
              </w:rPr>
              <w:t>3 (21.4%)</w:t>
            </w:r>
          </w:p>
        </w:tc>
      </w:tr>
      <w:tr w:rsidR="00676712" w:rsidRPr="00676712" w:rsidTr="00676712">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b/>
                <w:bCs/>
                <w:sz w:val="21"/>
                <w:szCs w:val="21"/>
              </w:rPr>
            </w:pPr>
            <w:r w:rsidRPr="00676712">
              <w:rPr>
                <w:rFonts w:ascii="Times New Roman" w:eastAsia="Times New Roman" w:hAnsi="Times New Roman" w:cs="Times New Roman"/>
                <w:b/>
                <w:bCs/>
                <w:sz w:val="21"/>
                <w:szCs w:val="21"/>
              </w:rPr>
              <w:t>Interval between sequential therapy and negative RT-PCR for SARS-CoV-2 (days)</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sz w:val="21"/>
                <w:szCs w:val="21"/>
              </w:rPr>
              <w:t>Mean-10.33 (±5.20), Median 8 (3−18)</w:t>
            </w:r>
          </w:p>
        </w:tc>
      </w:tr>
      <w:tr w:rsidR="00676712" w:rsidRPr="00676712" w:rsidTr="00676712">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b/>
                <w:bCs/>
                <w:sz w:val="21"/>
                <w:szCs w:val="21"/>
              </w:rPr>
            </w:pPr>
            <w:r w:rsidRPr="00676712">
              <w:rPr>
                <w:rFonts w:ascii="Times New Roman" w:eastAsia="Times New Roman" w:hAnsi="Times New Roman" w:cs="Times New Roman"/>
                <w:b/>
                <w:bCs/>
                <w:sz w:val="21"/>
                <w:szCs w:val="21"/>
              </w:rPr>
              <w:t>Interval between sequential therapy and removal of IMV (days)</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sz w:val="21"/>
                <w:szCs w:val="21"/>
              </w:rPr>
              <w:t>Mean -18.63 (±17.85), Median 6 (2−46)</w:t>
            </w:r>
          </w:p>
        </w:tc>
      </w:tr>
      <w:tr w:rsidR="00676712" w:rsidRPr="00676712" w:rsidTr="00676712">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b/>
                <w:bCs/>
                <w:sz w:val="21"/>
                <w:szCs w:val="21"/>
              </w:rPr>
            </w:pPr>
            <w:r w:rsidRPr="00676712">
              <w:rPr>
                <w:rFonts w:ascii="Times New Roman" w:eastAsia="Times New Roman" w:hAnsi="Times New Roman" w:cs="Times New Roman"/>
                <w:b/>
                <w:bCs/>
                <w:sz w:val="21"/>
                <w:szCs w:val="21"/>
              </w:rPr>
              <w:t>ICU-Length of stay (days)</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sz w:val="21"/>
                <w:szCs w:val="21"/>
              </w:rPr>
              <w:t>Mean = 26.43 (±17.77), Median 12 (5−42)</w:t>
            </w:r>
          </w:p>
        </w:tc>
      </w:tr>
      <w:tr w:rsidR="00676712" w:rsidRPr="00676712" w:rsidTr="00676712">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b/>
                <w:bCs/>
                <w:sz w:val="21"/>
                <w:szCs w:val="21"/>
              </w:rPr>
            </w:pPr>
            <w:r w:rsidRPr="00676712">
              <w:rPr>
                <w:rFonts w:ascii="Times New Roman" w:eastAsia="Times New Roman" w:hAnsi="Times New Roman" w:cs="Times New Roman"/>
                <w:b/>
                <w:bCs/>
                <w:sz w:val="21"/>
                <w:szCs w:val="21"/>
              </w:rPr>
              <w:t>IMV-Length of stay (days)</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sz w:val="21"/>
                <w:szCs w:val="21"/>
              </w:rPr>
              <w:t>Mean = 28.86 (±18.45), Median 6.5 (5−36)</w:t>
            </w:r>
          </w:p>
        </w:tc>
      </w:tr>
      <w:tr w:rsidR="00676712" w:rsidRPr="00676712" w:rsidTr="00676712">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b/>
                <w:bCs/>
                <w:sz w:val="21"/>
                <w:szCs w:val="21"/>
              </w:rPr>
            </w:pPr>
            <w:r w:rsidRPr="00676712">
              <w:rPr>
                <w:rFonts w:ascii="Times New Roman" w:eastAsia="Times New Roman" w:hAnsi="Times New Roman" w:cs="Times New Roman"/>
                <w:b/>
                <w:bCs/>
                <w:sz w:val="21"/>
                <w:szCs w:val="21"/>
              </w:rPr>
              <w:t>Hospital- Length of stay (days)</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sz w:val="21"/>
                <w:szCs w:val="21"/>
              </w:rPr>
              <w:t>Mean = 35.64 (±16.98), Median 18 (12−47)</w:t>
            </w:r>
          </w:p>
        </w:tc>
      </w:tr>
    </w:tbl>
    <w:p w:rsidR="00676712" w:rsidRPr="00676712" w:rsidRDefault="00676712" w:rsidP="00676712">
      <w:pPr>
        <w:spacing w:line="240" w:lineRule="auto"/>
        <w:rPr>
          <w:rFonts w:ascii="Georgia" w:eastAsia="Times New Roman" w:hAnsi="Georgia" w:cs="Times New Roman"/>
          <w:vanish/>
          <w:color w:val="2E2E2E"/>
          <w:sz w:val="21"/>
          <w:szCs w:val="21"/>
        </w:rPr>
      </w:pPr>
    </w:p>
    <w:tbl>
      <w:tblPr>
        <w:tblW w:w="9840" w:type="dxa"/>
        <w:tblBorders>
          <w:top w:val="single" w:sz="6" w:space="0" w:color="EBEBEB"/>
          <w:bottom w:val="single" w:sz="6" w:space="0" w:color="EBEBEB"/>
        </w:tblBorders>
        <w:tblCellMar>
          <w:left w:w="0" w:type="dxa"/>
          <w:right w:w="0" w:type="dxa"/>
        </w:tblCellMar>
        <w:tblLook w:val="04A0" w:firstRow="1" w:lastRow="0" w:firstColumn="1" w:lastColumn="0" w:noHBand="0" w:noVBand="1"/>
      </w:tblPr>
      <w:tblGrid>
        <w:gridCol w:w="2902"/>
        <w:gridCol w:w="2819"/>
        <w:gridCol w:w="3255"/>
        <w:gridCol w:w="864"/>
      </w:tblGrid>
      <w:tr w:rsidR="00676712" w:rsidRPr="00676712" w:rsidTr="00676712">
        <w:trPr>
          <w:tblHeader/>
        </w:trPr>
        <w:tc>
          <w:tcPr>
            <w:tcW w:w="0" w:type="auto"/>
            <w:tcBorders>
              <w:bottom w:val="single" w:sz="6" w:space="0" w:color="EBEBEB"/>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b/>
                <w:bCs/>
                <w:sz w:val="21"/>
                <w:szCs w:val="21"/>
              </w:rPr>
            </w:pPr>
            <w:r w:rsidRPr="00676712">
              <w:rPr>
                <w:rFonts w:ascii="Times New Roman" w:eastAsia="Times New Roman" w:hAnsi="Times New Roman" w:cs="Times New Roman"/>
                <w:b/>
                <w:bCs/>
                <w:sz w:val="21"/>
                <w:szCs w:val="21"/>
              </w:rPr>
              <w:t>Variables</w:t>
            </w:r>
          </w:p>
        </w:tc>
        <w:tc>
          <w:tcPr>
            <w:tcW w:w="0" w:type="auto"/>
            <w:tcBorders>
              <w:bottom w:val="single" w:sz="6" w:space="0" w:color="EBEBEB"/>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b/>
                <w:bCs/>
                <w:sz w:val="21"/>
                <w:szCs w:val="21"/>
              </w:rPr>
            </w:pPr>
            <w:r w:rsidRPr="00676712">
              <w:rPr>
                <w:rFonts w:ascii="Times New Roman" w:eastAsia="Times New Roman" w:hAnsi="Times New Roman" w:cs="Times New Roman"/>
                <w:b/>
                <w:bCs/>
                <w:sz w:val="21"/>
                <w:szCs w:val="21"/>
              </w:rPr>
              <w:t>Before therapy, Mean ± SD</w:t>
            </w:r>
          </w:p>
        </w:tc>
        <w:tc>
          <w:tcPr>
            <w:tcW w:w="0" w:type="auto"/>
            <w:tcBorders>
              <w:bottom w:val="single" w:sz="6" w:space="0" w:color="EBEBEB"/>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b/>
                <w:bCs/>
                <w:sz w:val="21"/>
                <w:szCs w:val="21"/>
              </w:rPr>
            </w:pPr>
            <w:r w:rsidRPr="00676712">
              <w:rPr>
                <w:rFonts w:ascii="Times New Roman" w:eastAsia="Times New Roman" w:hAnsi="Times New Roman" w:cs="Times New Roman"/>
                <w:b/>
                <w:bCs/>
                <w:sz w:val="21"/>
                <w:szCs w:val="21"/>
              </w:rPr>
              <w:t>7 days after therapy Mean ± SD</w:t>
            </w:r>
          </w:p>
        </w:tc>
        <w:tc>
          <w:tcPr>
            <w:tcW w:w="0" w:type="auto"/>
            <w:tcBorders>
              <w:bottom w:val="single" w:sz="6" w:space="0" w:color="EBEBEB"/>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b/>
                <w:bCs/>
                <w:sz w:val="21"/>
                <w:szCs w:val="21"/>
              </w:rPr>
            </w:pPr>
            <w:r w:rsidRPr="00676712">
              <w:rPr>
                <w:rFonts w:ascii="Times New Roman" w:eastAsia="Times New Roman" w:hAnsi="Times New Roman" w:cs="Times New Roman"/>
                <w:b/>
                <w:bCs/>
                <w:sz w:val="21"/>
                <w:szCs w:val="21"/>
              </w:rPr>
              <w:t>p value</w:t>
            </w:r>
          </w:p>
        </w:tc>
      </w:tr>
      <w:tr w:rsidR="00676712" w:rsidRPr="00676712" w:rsidTr="00676712">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b/>
                <w:bCs/>
                <w:sz w:val="21"/>
                <w:szCs w:val="21"/>
              </w:rPr>
            </w:pPr>
            <w:r w:rsidRPr="00676712">
              <w:rPr>
                <w:rFonts w:ascii="Times New Roman" w:eastAsia="Times New Roman" w:hAnsi="Times New Roman" w:cs="Times New Roman"/>
                <w:b/>
                <w:bCs/>
                <w:sz w:val="21"/>
                <w:szCs w:val="21"/>
              </w:rPr>
              <w:t>Body temperature (ºC)</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sz w:val="21"/>
                <w:szCs w:val="21"/>
              </w:rPr>
              <w:t>37.24 ± 0.92</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sz w:val="21"/>
                <w:szCs w:val="21"/>
              </w:rPr>
              <w:t>37.16 ± 0.77</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sz w:val="21"/>
                <w:szCs w:val="21"/>
              </w:rPr>
              <w:t>0.81</w:t>
            </w:r>
          </w:p>
        </w:tc>
      </w:tr>
      <w:tr w:rsidR="00676712" w:rsidRPr="00676712" w:rsidTr="00676712">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b/>
                <w:bCs/>
                <w:sz w:val="21"/>
                <w:szCs w:val="21"/>
              </w:rPr>
            </w:pPr>
            <w:r w:rsidRPr="00676712">
              <w:rPr>
                <w:rFonts w:ascii="Times New Roman" w:eastAsia="Times New Roman" w:hAnsi="Times New Roman" w:cs="Times New Roman"/>
                <w:b/>
                <w:bCs/>
                <w:sz w:val="21"/>
                <w:szCs w:val="21"/>
              </w:rPr>
              <w:t>PaO2/Fio2 ratio (mm of Hg)</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sz w:val="21"/>
                <w:szCs w:val="21"/>
              </w:rPr>
              <w:t>138.89 ± 41.90</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sz w:val="21"/>
                <w:szCs w:val="21"/>
              </w:rPr>
              <w:t>224.78 ± 136.35</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sz w:val="21"/>
                <w:szCs w:val="21"/>
              </w:rPr>
              <w:t>0.08</w:t>
            </w:r>
          </w:p>
        </w:tc>
      </w:tr>
      <w:tr w:rsidR="00676712" w:rsidRPr="00676712" w:rsidTr="00676712">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b/>
                <w:bCs/>
                <w:sz w:val="21"/>
                <w:szCs w:val="21"/>
              </w:rPr>
            </w:pPr>
            <w:r w:rsidRPr="00676712">
              <w:rPr>
                <w:rFonts w:ascii="Times New Roman" w:eastAsia="Times New Roman" w:hAnsi="Times New Roman" w:cs="Times New Roman"/>
                <w:b/>
                <w:bCs/>
                <w:sz w:val="21"/>
                <w:szCs w:val="21"/>
              </w:rPr>
              <w:t>Ferritin (ng/mL)</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sz w:val="21"/>
                <w:szCs w:val="21"/>
              </w:rPr>
              <w:t>1416.25 ± 1150.62</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sz w:val="21"/>
                <w:szCs w:val="21"/>
              </w:rPr>
              <w:t>1051.42 ± 740.96</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sz w:val="21"/>
                <w:szCs w:val="21"/>
              </w:rPr>
              <w:t>0.22</w:t>
            </w:r>
          </w:p>
        </w:tc>
      </w:tr>
      <w:tr w:rsidR="00676712" w:rsidRPr="00676712" w:rsidTr="00676712">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b/>
                <w:bCs/>
                <w:sz w:val="21"/>
                <w:szCs w:val="21"/>
              </w:rPr>
            </w:pPr>
            <w:r w:rsidRPr="00676712">
              <w:rPr>
                <w:rFonts w:ascii="Times New Roman" w:eastAsia="Times New Roman" w:hAnsi="Times New Roman" w:cs="Times New Roman"/>
                <w:b/>
                <w:bCs/>
                <w:sz w:val="21"/>
                <w:szCs w:val="21"/>
              </w:rPr>
              <w:t>D-dimer (</w:t>
            </w:r>
            <w:proofErr w:type="spellStart"/>
            <w:r w:rsidRPr="00676712">
              <w:rPr>
                <w:rFonts w:ascii="Times New Roman" w:eastAsia="Times New Roman" w:hAnsi="Times New Roman" w:cs="Times New Roman"/>
                <w:b/>
                <w:bCs/>
                <w:sz w:val="21"/>
                <w:szCs w:val="21"/>
              </w:rPr>
              <w:t>μg</w:t>
            </w:r>
            <w:proofErr w:type="spellEnd"/>
            <w:r w:rsidRPr="00676712">
              <w:rPr>
                <w:rFonts w:ascii="Times New Roman" w:eastAsia="Times New Roman" w:hAnsi="Times New Roman" w:cs="Times New Roman"/>
                <w:b/>
                <w:bCs/>
                <w:sz w:val="21"/>
                <w:szCs w:val="21"/>
              </w:rPr>
              <w:t>/mL)</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sz w:val="21"/>
                <w:szCs w:val="21"/>
              </w:rPr>
              <w:t>4.20 ± 5.46</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sz w:val="21"/>
                <w:szCs w:val="21"/>
              </w:rPr>
              <w:t>4.21 ± 5.93</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sz w:val="21"/>
                <w:szCs w:val="21"/>
              </w:rPr>
              <w:t>0.51</w:t>
            </w:r>
          </w:p>
        </w:tc>
      </w:tr>
      <w:tr w:rsidR="00676712" w:rsidRPr="00676712" w:rsidTr="00676712">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b/>
                <w:bCs/>
                <w:sz w:val="21"/>
                <w:szCs w:val="21"/>
              </w:rPr>
            </w:pPr>
            <w:r w:rsidRPr="00676712">
              <w:rPr>
                <w:rFonts w:ascii="Times New Roman" w:eastAsia="Times New Roman" w:hAnsi="Times New Roman" w:cs="Times New Roman"/>
                <w:b/>
                <w:bCs/>
                <w:sz w:val="21"/>
                <w:szCs w:val="21"/>
              </w:rPr>
              <w:t>LDH (U/L)</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sz w:val="21"/>
                <w:szCs w:val="21"/>
              </w:rPr>
              <w:t>462.73 ± 178.66</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sz w:val="21"/>
                <w:szCs w:val="21"/>
              </w:rPr>
              <w:t>402.45 ± 149.05</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sz w:val="21"/>
                <w:szCs w:val="21"/>
              </w:rPr>
              <w:t>0.23</w:t>
            </w:r>
          </w:p>
        </w:tc>
      </w:tr>
      <w:tr w:rsidR="00676712" w:rsidRPr="00676712" w:rsidTr="00676712">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b/>
                <w:bCs/>
                <w:sz w:val="21"/>
                <w:szCs w:val="21"/>
              </w:rPr>
            </w:pPr>
            <w:r w:rsidRPr="00676712">
              <w:rPr>
                <w:rFonts w:ascii="Times New Roman" w:eastAsia="Times New Roman" w:hAnsi="Times New Roman" w:cs="Times New Roman"/>
                <w:b/>
                <w:bCs/>
                <w:sz w:val="21"/>
                <w:szCs w:val="21"/>
              </w:rPr>
              <w:t>CRP (</w:t>
            </w:r>
            <w:proofErr w:type="spellStart"/>
            <w:r w:rsidRPr="00676712">
              <w:rPr>
                <w:rFonts w:ascii="Times New Roman" w:eastAsia="Times New Roman" w:hAnsi="Times New Roman" w:cs="Times New Roman"/>
                <w:b/>
                <w:bCs/>
                <w:sz w:val="21"/>
                <w:szCs w:val="21"/>
              </w:rPr>
              <w:t>μg</w:t>
            </w:r>
            <w:proofErr w:type="spellEnd"/>
            <w:r w:rsidRPr="00676712">
              <w:rPr>
                <w:rFonts w:ascii="Times New Roman" w:eastAsia="Times New Roman" w:hAnsi="Times New Roman" w:cs="Times New Roman"/>
                <w:b/>
                <w:bCs/>
                <w:sz w:val="21"/>
                <w:szCs w:val="21"/>
              </w:rPr>
              <w:t>/mL)</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sz w:val="21"/>
                <w:szCs w:val="21"/>
              </w:rPr>
              <w:t>86.74 ± 79.86</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sz w:val="21"/>
                <w:szCs w:val="21"/>
              </w:rPr>
              <w:t>30.56 ± 30.73</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b/>
                <w:bCs/>
                <w:sz w:val="21"/>
                <w:szCs w:val="21"/>
              </w:rPr>
              <w:t>0.03</w:t>
            </w:r>
          </w:p>
        </w:tc>
      </w:tr>
      <w:tr w:rsidR="00676712" w:rsidRPr="00676712" w:rsidTr="00676712">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b/>
                <w:bCs/>
                <w:sz w:val="21"/>
                <w:szCs w:val="21"/>
              </w:rPr>
            </w:pPr>
            <w:r w:rsidRPr="00676712">
              <w:rPr>
                <w:rFonts w:ascii="Times New Roman" w:eastAsia="Times New Roman" w:hAnsi="Times New Roman" w:cs="Times New Roman"/>
                <w:b/>
                <w:bCs/>
                <w:sz w:val="21"/>
                <w:szCs w:val="21"/>
              </w:rPr>
              <w:t>Lymphocyte count (x10</w:t>
            </w:r>
            <w:r w:rsidRPr="00676712">
              <w:rPr>
                <w:rFonts w:ascii="Times New Roman" w:eastAsia="Times New Roman" w:hAnsi="Times New Roman" w:cs="Times New Roman"/>
                <w:b/>
                <w:bCs/>
                <w:sz w:val="16"/>
                <w:szCs w:val="16"/>
                <w:vertAlign w:val="superscript"/>
              </w:rPr>
              <w:t>9</w:t>
            </w:r>
            <w:r w:rsidRPr="00676712">
              <w:rPr>
                <w:rFonts w:ascii="Times New Roman" w:eastAsia="Times New Roman" w:hAnsi="Times New Roman" w:cs="Times New Roman"/>
                <w:b/>
                <w:bCs/>
                <w:sz w:val="21"/>
                <w:szCs w:val="21"/>
              </w:rPr>
              <w:t>/L)</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sz w:val="21"/>
                <w:szCs w:val="21"/>
              </w:rPr>
              <w:t>0.70 ± 0.54</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sz w:val="21"/>
                <w:szCs w:val="21"/>
              </w:rPr>
              <w:t>1.04 ± 0.49</w:t>
            </w:r>
          </w:p>
        </w:tc>
        <w:tc>
          <w:tcPr>
            <w:tcW w:w="0" w:type="auto"/>
            <w:tcBorders>
              <w:bottom w:val="nil"/>
              <w:right w:val="nil"/>
            </w:tcBorders>
            <w:tcMar>
              <w:top w:w="75" w:type="dxa"/>
              <w:left w:w="75" w:type="dxa"/>
              <w:bottom w:w="75" w:type="dxa"/>
              <w:right w:w="75" w:type="dxa"/>
            </w:tcMar>
            <w:vAlign w:val="center"/>
            <w:hideMark/>
          </w:tcPr>
          <w:p w:rsidR="00676712" w:rsidRPr="00676712" w:rsidRDefault="00676712" w:rsidP="00676712">
            <w:pPr>
              <w:spacing w:after="0" w:line="240" w:lineRule="auto"/>
              <w:rPr>
                <w:rFonts w:ascii="Times New Roman" w:eastAsia="Times New Roman" w:hAnsi="Times New Roman" w:cs="Times New Roman"/>
                <w:sz w:val="21"/>
                <w:szCs w:val="21"/>
              </w:rPr>
            </w:pPr>
            <w:r w:rsidRPr="00676712">
              <w:rPr>
                <w:rFonts w:ascii="Times New Roman" w:eastAsia="Times New Roman" w:hAnsi="Times New Roman" w:cs="Times New Roman"/>
                <w:sz w:val="21"/>
                <w:szCs w:val="21"/>
              </w:rPr>
              <w:t>0.27</w:t>
            </w:r>
          </w:p>
        </w:tc>
      </w:tr>
    </w:tbl>
    <w:p w:rsidR="00676712" w:rsidRPr="00676712" w:rsidRDefault="00676712" w:rsidP="00676712">
      <w:pPr>
        <w:spacing w:after="240" w:line="240" w:lineRule="auto"/>
        <w:rPr>
          <w:rFonts w:ascii="Georgia" w:eastAsia="Times New Roman" w:hAnsi="Georgia" w:cs="Times New Roman"/>
          <w:color w:val="2E2E2E"/>
          <w:sz w:val="21"/>
          <w:szCs w:val="21"/>
        </w:rPr>
      </w:pPr>
      <w:r w:rsidRPr="00676712">
        <w:rPr>
          <w:rFonts w:ascii="Georgia" w:eastAsia="Times New Roman" w:hAnsi="Georgia" w:cs="Times New Roman"/>
          <w:color w:val="2E2E2E"/>
          <w:sz w:val="21"/>
          <w:szCs w:val="21"/>
        </w:rPr>
        <w:t>p value less than 0.05 is significant.</w:t>
      </w:r>
    </w:p>
    <w:p w:rsidR="00676712" w:rsidRPr="00676712" w:rsidRDefault="00676712" w:rsidP="00676712">
      <w:pPr>
        <w:spacing w:line="240" w:lineRule="auto"/>
        <w:rPr>
          <w:rFonts w:ascii="Georgia" w:eastAsia="Times New Roman" w:hAnsi="Georgia" w:cs="Times New Roman"/>
          <w:color w:val="2E2E2E"/>
          <w:sz w:val="21"/>
          <w:szCs w:val="21"/>
        </w:rPr>
      </w:pPr>
      <w:r w:rsidRPr="00676712">
        <w:rPr>
          <w:rFonts w:ascii="Georgia" w:eastAsia="Times New Roman" w:hAnsi="Georgia" w:cs="Times New Roman"/>
          <w:color w:val="2E2E2E"/>
          <w:sz w:val="21"/>
          <w:szCs w:val="21"/>
        </w:rPr>
        <w:t>BMI- body mass index, CRP- C-reactive protein, HCQ-</w:t>
      </w:r>
      <w:proofErr w:type="spellStart"/>
      <w:r w:rsidRPr="00676712">
        <w:rPr>
          <w:rFonts w:ascii="Georgia" w:eastAsia="Times New Roman" w:hAnsi="Georgia" w:cs="Times New Roman"/>
          <w:color w:val="2E2E2E"/>
          <w:sz w:val="21"/>
          <w:szCs w:val="21"/>
        </w:rPr>
        <w:t>hydroxychloroquine</w:t>
      </w:r>
      <w:proofErr w:type="spellEnd"/>
      <w:r w:rsidRPr="00676712">
        <w:rPr>
          <w:rFonts w:ascii="Georgia" w:eastAsia="Times New Roman" w:hAnsi="Georgia" w:cs="Times New Roman"/>
          <w:color w:val="2E2E2E"/>
          <w:sz w:val="21"/>
          <w:szCs w:val="21"/>
        </w:rPr>
        <w:t>, ICU-intensive care unit, IMV-Invasive mechanical ventilation, LDH- lactate dehydrogenase, RT-PCR-reverse transcriptase polymerase chain reaction, SARS-CoV-2-severe acute respiratory syndrome coronavirus 2, SD-standard deviation.</w:t>
      </w:r>
    </w:p>
    <w:p w:rsidR="00676712" w:rsidRPr="00676712" w:rsidRDefault="00676712" w:rsidP="00676712">
      <w:pPr>
        <w:spacing w:after="0" w:line="240" w:lineRule="auto"/>
        <w:rPr>
          <w:rFonts w:ascii="Georgia" w:eastAsia="Times New Roman" w:hAnsi="Georgia" w:cs="Times New Roman"/>
          <w:color w:val="2E2E2E"/>
          <w:sz w:val="27"/>
          <w:szCs w:val="27"/>
        </w:rPr>
      </w:pPr>
      <w:r w:rsidRPr="00676712">
        <w:rPr>
          <w:rFonts w:ascii="Georgia" w:eastAsia="Times New Roman" w:hAnsi="Georgia" w:cs="Times New Roman"/>
          <w:color w:val="2E2E2E"/>
          <w:sz w:val="27"/>
          <w:szCs w:val="27"/>
        </w:rPr>
        <w:t>The host response has a significant role to play in the development of severe COVID-19 (</w:t>
      </w:r>
      <w:proofErr w:type="spellStart"/>
      <w:r w:rsidRPr="00676712">
        <w:rPr>
          <w:rFonts w:ascii="Georgia" w:eastAsia="Times New Roman" w:hAnsi="Georgia" w:cs="Times New Roman"/>
          <w:color w:val="2E2E2E"/>
          <w:sz w:val="27"/>
          <w:szCs w:val="27"/>
        </w:rPr>
        <w:fldChar w:fldCharType="begin"/>
      </w:r>
      <w:r w:rsidRPr="00676712">
        <w:rPr>
          <w:rFonts w:ascii="Georgia" w:eastAsia="Times New Roman" w:hAnsi="Georgia" w:cs="Times New Roman"/>
          <w:color w:val="2E2E2E"/>
          <w:sz w:val="27"/>
          <w:szCs w:val="27"/>
        </w:rPr>
        <w:instrText xml:space="preserve"> HYPERLINK "https://www.sciencedirect.com/science/article/pii/S120197122032289X" \l "bib0050" </w:instrText>
      </w:r>
      <w:r w:rsidRPr="00676712">
        <w:rPr>
          <w:rFonts w:ascii="Georgia" w:eastAsia="Times New Roman" w:hAnsi="Georgia" w:cs="Times New Roman"/>
          <w:color w:val="2E2E2E"/>
          <w:sz w:val="27"/>
          <w:szCs w:val="27"/>
        </w:rPr>
        <w:fldChar w:fldCharType="separate"/>
      </w:r>
      <w:r w:rsidRPr="00676712">
        <w:rPr>
          <w:rFonts w:ascii="Georgia" w:eastAsia="Times New Roman" w:hAnsi="Georgia" w:cs="Times New Roman"/>
          <w:color w:val="0C7DBB"/>
          <w:sz w:val="27"/>
          <w:szCs w:val="27"/>
          <w:u w:val="single"/>
        </w:rPr>
        <w:t>Vabre</w:t>
      </w:r>
      <w:proofErr w:type="spellEnd"/>
      <w:r w:rsidRPr="00676712">
        <w:rPr>
          <w:rFonts w:ascii="Georgia" w:eastAsia="Times New Roman" w:hAnsi="Georgia" w:cs="Times New Roman"/>
          <w:color w:val="0C7DBB"/>
          <w:sz w:val="27"/>
          <w:szCs w:val="27"/>
          <w:u w:val="single"/>
        </w:rPr>
        <w:t xml:space="preserve"> et al., 2020</w:t>
      </w:r>
      <w:r w:rsidRPr="00676712">
        <w:rPr>
          <w:rFonts w:ascii="Georgia" w:eastAsia="Times New Roman" w:hAnsi="Georgia" w:cs="Times New Roman"/>
          <w:color w:val="2E2E2E"/>
          <w:sz w:val="27"/>
          <w:szCs w:val="27"/>
        </w:rPr>
        <w:fldChar w:fldCharType="end"/>
      </w:r>
      <w:r w:rsidRPr="00676712">
        <w:rPr>
          <w:rFonts w:ascii="Georgia" w:eastAsia="Times New Roman" w:hAnsi="Georgia" w:cs="Times New Roman"/>
          <w:color w:val="2E2E2E"/>
          <w:sz w:val="27"/>
          <w:szCs w:val="27"/>
        </w:rPr>
        <w:t>, </w:t>
      </w:r>
      <w:hyperlink r:id="rId6" w:anchor="bib0055" w:history="1">
        <w:r w:rsidRPr="00676712">
          <w:rPr>
            <w:rFonts w:ascii="Georgia" w:eastAsia="Times New Roman" w:hAnsi="Georgia" w:cs="Times New Roman"/>
            <w:color w:val="0C7DBB"/>
            <w:sz w:val="27"/>
            <w:szCs w:val="27"/>
            <w:u w:val="single"/>
          </w:rPr>
          <w:t>WHO Rapid Evidence Appraisal for COVID-19 Therapies (REACT) Working Group et al., 2020</w:t>
        </w:r>
      </w:hyperlink>
      <w:r w:rsidRPr="00676712">
        <w:rPr>
          <w:rFonts w:ascii="Georgia" w:eastAsia="Times New Roman" w:hAnsi="Georgia" w:cs="Times New Roman"/>
          <w:color w:val="2E2E2E"/>
          <w:sz w:val="27"/>
          <w:szCs w:val="27"/>
        </w:rPr>
        <w:t xml:space="preserve">). The innate immune system serves the first line of defense against the invading viral pathogen. Single-stranded RNA viruses like SARS-CoV-2 through pattern recognition receptors (PRR) may trigger a downstream cascade of excessive cytokine release [like tumor necrosis factor (TNF)-α, Interleukin (IL)-1, IL-6, IL-18] and </w:t>
      </w:r>
      <w:proofErr w:type="spellStart"/>
      <w:r w:rsidRPr="00676712">
        <w:rPr>
          <w:rFonts w:ascii="Georgia" w:eastAsia="Times New Roman" w:hAnsi="Georgia" w:cs="Times New Roman"/>
          <w:color w:val="2E2E2E"/>
          <w:sz w:val="27"/>
          <w:szCs w:val="27"/>
        </w:rPr>
        <w:t>hyperinflammation</w:t>
      </w:r>
      <w:proofErr w:type="spellEnd"/>
      <w:r w:rsidRPr="00676712">
        <w:rPr>
          <w:rFonts w:ascii="Georgia" w:eastAsia="Times New Roman" w:hAnsi="Georgia" w:cs="Times New Roman"/>
          <w:color w:val="2E2E2E"/>
          <w:sz w:val="27"/>
          <w:szCs w:val="27"/>
        </w:rPr>
        <w:t xml:space="preserve"> (</w:t>
      </w:r>
      <w:proofErr w:type="spellStart"/>
      <w:r w:rsidRPr="00676712">
        <w:rPr>
          <w:rFonts w:ascii="Georgia" w:eastAsia="Times New Roman" w:hAnsi="Georgia" w:cs="Times New Roman"/>
          <w:color w:val="2E2E2E"/>
          <w:sz w:val="27"/>
          <w:szCs w:val="27"/>
        </w:rPr>
        <w:fldChar w:fldCharType="begin"/>
      </w:r>
      <w:r w:rsidRPr="00676712">
        <w:rPr>
          <w:rFonts w:ascii="Georgia" w:eastAsia="Times New Roman" w:hAnsi="Georgia" w:cs="Times New Roman"/>
          <w:color w:val="2E2E2E"/>
          <w:sz w:val="27"/>
          <w:szCs w:val="27"/>
        </w:rPr>
        <w:instrText xml:space="preserve"> HYPERLINK "https://www.sciencedirect.com/science/article/pii/S120197122032289X" \l "bib0050" </w:instrText>
      </w:r>
      <w:r w:rsidRPr="00676712">
        <w:rPr>
          <w:rFonts w:ascii="Georgia" w:eastAsia="Times New Roman" w:hAnsi="Georgia" w:cs="Times New Roman"/>
          <w:color w:val="2E2E2E"/>
          <w:sz w:val="27"/>
          <w:szCs w:val="27"/>
        </w:rPr>
        <w:fldChar w:fldCharType="separate"/>
      </w:r>
      <w:r w:rsidRPr="00676712">
        <w:rPr>
          <w:rFonts w:ascii="Georgia" w:eastAsia="Times New Roman" w:hAnsi="Georgia" w:cs="Times New Roman"/>
          <w:color w:val="0C7DBB"/>
          <w:sz w:val="27"/>
          <w:szCs w:val="27"/>
          <w:u w:val="single"/>
        </w:rPr>
        <w:t>Vabre</w:t>
      </w:r>
      <w:proofErr w:type="spellEnd"/>
      <w:r w:rsidRPr="00676712">
        <w:rPr>
          <w:rFonts w:ascii="Georgia" w:eastAsia="Times New Roman" w:hAnsi="Georgia" w:cs="Times New Roman"/>
          <w:color w:val="0C7DBB"/>
          <w:sz w:val="27"/>
          <w:szCs w:val="27"/>
          <w:u w:val="single"/>
        </w:rPr>
        <w:t xml:space="preserve"> et al., 2020</w:t>
      </w:r>
      <w:r w:rsidRPr="00676712">
        <w:rPr>
          <w:rFonts w:ascii="Georgia" w:eastAsia="Times New Roman" w:hAnsi="Georgia" w:cs="Times New Roman"/>
          <w:color w:val="2E2E2E"/>
          <w:sz w:val="27"/>
          <w:szCs w:val="27"/>
        </w:rPr>
        <w:fldChar w:fldCharType="end"/>
      </w:r>
      <w:r w:rsidRPr="00676712">
        <w:rPr>
          <w:rFonts w:ascii="Georgia" w:eastAsia="Times New Roman" w:hAnsi="Georgia" w:cs="Times New Roman"/>
          <w:color w:val="2E2E2E"/>
          <w:sz w:val="27"/>
          <w:szCs w:val="27"/>
        </w:rPr>
        <w:t xml:space="preserve">). </w:t>
      </w:r>
      <w:proofErr w:type="spellStart"/>
      <w:r w:rsidRPr="00676712">
        <w:rPr>
          <w:rFonts w:ascii="Georgia" w:eastAsia="Times New Roman" w:hAnsi="Georgia" w:cs="Times New Roman"/>
          <w:color w:val="2E2E2E"/>
          <w:sz w:val="27"/>
          <w:szCs w:val="27"/>
        </w:rPr>
        <w:t>Immunomodulators</w:t>
      </w:r>
      <w:proofErr w:type="spellEnd"/>
      <w:r w:rsidRPr="00676712">
        <w:rPr>
          <w:rFonts w:ascii="Georgia" w:eastAsia="Times New Roman" w:hAnsi="Georgia" w:cs="Times New Roman"/>
          <w:color w:val="2E2E2E"/>
          <w:sz w:val="27"/>
          <w:szCs w:val="27"/>
        </w:rPr>
        <w:t xml:space="preserve"> like steroids or </w:t>
      </w:r>
      <w:proofErr w:type="spellStart"/>
      <w:r w:rsidRPr="00676712">
        <w:rPr>
          <w:rFonts w:ascii="Georgia" w:eastAsia="Times New Roman" w:hAnsi="Georgia" w:cs="Times New Roman"/>
          <w:color w:val="2E2E2E"/>
          <w:sz w:val="27"/>
          <w:szCs w:val="27"/>
        </w:rPr>
        <w:t>tocilizumab</w:t>
      </w:r>
      <w:proofErr w:type="spellEnd"/>
      <w:r w:rsidRPr="00676712">
        <w:rPr>
          <w:rFonts w:ascii="Georgia" w:eastAsia="Times New Roman" w:hAnsi="Georgia" w:cs="Times New Roman"/>
          <w:color w:val="2E2E2E"/>
          <w:sz w:val="27"/>
          <w:szCs w:val="27"/>
        </w:rPr>
        <w:t xml:space="preserve"> have been used to control this cytokine storm with variable success (</w:t>
      </w:r>
      <w:bookmarkStart w:id="9" w:name="bbib0015"/>
      <w:proofErr w:type="spellStart"/>
      <w:r w:rsidRPr="00676712">
        <w:rPr>
          <w:rFonts w:ascii="Georgia" w:eastAsia="Times New Roman" w:hAnsi="Georgia" w:cs="Times New Roman"/>
          <w:color w:val="2E2E2E"/>
          <w:sz w:val="27"/>
          <w:szCs w:val="27"/>
        </w:rPr>
        <w:fldChar w:fldCharType="begin"/>
      </w:r>
      <w:r w:rsidRPr="00676712">
        <w:rPr>
          <w:rFonts w:ascii="Georgia" w:eastAsia="Times New Roman" w:hAnsi="Georgia" w:cs="Times New Roman"/>
          <w:color w:val="2E2E2E"/>
          <w:sz w:val="27"/>
          <w:szCs w:val="27"/>
        </w:rPr>
        <w:instrText xml:space="preserve"> HYPERLINK "https://www.sciencedirect.com/science/article/pii/S120197122032289X" \l "bib0015" </w:instrText>
      </w:r>
      <w:r w:rsidRPr="00676712">
        <w:rPr>
          <w:rFonts w:ascii="Georgia" w:eastAsia="Times New Roman" w:hAnsi="Georgia" w:cs="Times New Roman"/>
          <w:color w:val="2E2E2E"/>
          <w:sz w:val="27"/>
          <w:szCs w:val="27"/>
        </w:rPr>
        <w:fldChar w:fldCharType="separate"/>
      </w:r>
      <w:r w:rsidRPr="00676712">
        <w:rPr>
          <w:rFonts w:ascii="Georgia" w:eastAsia="Times New Roman" w:hAnsi="Georgia" w:cs="Times New Roman"/>
          <w:color w:val="0C7DBB"/>
          <w:sz w:val="27"/>
          <w:szCs w:val="27"/>
          <w:u w:val="single"/>
        </w:rPr>
        <w:t>Focosi</w:t>
      </w:r>
      <w:proofErr w:type="spellEnd"/>
      <w:r w:rsidRPr="00676712">
        <w:rPr>
          <w:rFonts w:ascii="Georgia" w:eastAsia="Times New Roman" w:hAnsi="Georgia" w:cs="Times New Roman"/>
          <w:color w:val="0C7DBB"/>
          <w:sz w:val="27"/>
          <w:szCs w:val="27"/>
          <w:u w:val="single"/>
        </w:rPr>
        <w:t xml:space="preserve"> et al., 2020</w:t>
      </w:r>
      <w:r w:rsidRPr="00676712">
        <w:rPr>
          <w:rFonts w:ascii="Georgia" w:eastAsia="Times New Roman" w:hAnsi="Georgia" w:cs="Times New Roman"/>
          <w:color w:val="2E2E2E"/>
          <w:sz w:val="27"/>
          <w:szCs w:val="27"/>
        </w:rPr>
        <w:fldChar w:fldCharType="end"/>
      </w:r>
      <w:r w:rsidRPr="00676712">
        <w:rPr>
          <w:rFonts w:ascii="Georgia" w:eastAsia="Times New Roman" w:hAnsi="Georgia" w:cs="Times New Roman"/>
          <w:color w:val="2E2E2E"/>
          <w:sz w:val="27"/>
          <w:szCs w:val="27"/>
        </w:rPr>
        <w:t>, </w:t>
      </w:r>
      <w:hyperlink r:id="rId7" w:anchor="bib0055" w:history="1">
        <w:r w:rsidRPr="00676712">
          <w:rPr>
            <w:rFonts w:ascii="Georgia" w:eastAsia="Times New Roman" w:hAnsi="Georgia" w:cs="Times New Roman"/>
            <w:color w:val="0C7DBB"/>
            <w:sz w:val="27"/>
            <w:szCs w:val="27"/>
            <w:u w:val="single"/>
          </w:rPr>
          <w:t>WHO Rapid Evidence Appraisal for COVID-19 Therapies (REACT) Working Group et al., 2020</w:t>
        </w:r>
      </w:hyperlink>
      <w:r w:rsidRPr="00676712">
        <w:rPr>
          <w:rFonts w:ascii="Georgia" w:eastAsia="Times New Roman" w:hAnsi="Georgia" w:cs="Times New Roman"/>
          <w:color w:val="2E2E2E"/>
          <w:sz w:val="27"/>
          <w:szCs w:val="27"/>
        </w:rPr>
        <w:t xml:space="preserve">). TPE is postulated to have a </w:t>
      </w:r>
      <w:r w:rsidRPr="00676712">
        <w:rPr>
          <w:rFonts w:ascii="Georgia" w:eastAsia="Times New Roman" w:hAnsi="Georgia" w:cs="Times New Roman"/>
          <w:color w:val="2E2E2E"/>
          <w:sz w:val="27"/>
          <w:szCs w:val="27"/>
        </w:rPr>
        <w:lastRenderedPageBreak/>
        <w:t>role in cytokine storm through cytokine clearance and establishing homeostasis (</w:t>
      </w:r>
      <w:proofErr w:type="spellStart"/>
      <w:r w:rsidRPr="00676712">
        <w:rPr>
          <w:rFonts w:ascii="Georgia" w:eastAsia="Times New Roman" w:hAnsi="Georgia" w:cs="Times New Roman"/>
          <w:color w:val="2E2E2E"/>
          <w:sz w:val="27"/>
          <w:szCs w:val="27"/>
        </w:rPr>
        <w:fldChar w:fldCharType="begin"/>
      </w:r>
      <w:r w:rsidRPr="00676712">
        <w:rPr>
          <w:rFonts w:ascii="Georgia" w:eastAsia="Times New Roman" w:hAnsi="Georgia" w:cs="Times New Roman"/>
          <w:color w:val="2E2E2E"/>
          <w:sz w:val="27"/>
          <w:szCs w:val="27"/>
        </w:rPr>
        <w:instrText xml:space="preserve"> HYPERLINK "https://www.sciencedirect.com/science/article/pii/S120197122032289X" \l "bib0025" </w:instrText>
      </w:r>
      <w:r w:rsidRPr="00676712">
        <w:rPr>
          <w:rFonts w:ascii="Georgia" w:eastAsia="Times New Roman" w:hAnsi="Georgia" w:cs="Times New Roman"/>
          <w:color w:val="2E2E2E"/>
          <w:sz w:val="27"/>
          <w:szCs w:val="27"/>
        </w:rPr>
        <w:fldChar w:fldCharType="separate"/>
      </w:r>
      <w:r w:rsidRPr="00676712">
        <w:rPr>
          <w:rFonts w:ascii="Georgia" w:eastAsia="Times New Roman" w:hAnsi="Georgia" w:cs="Times New Roman"/>
          <w:color w:val="0C7DBB"/>
          <w:sz w:val="27"/>
          <w:szCs w:val="27"/>
          <w:u w:val="single"/>
        </w:rPr>
        <w:t>Khamis</w:t>
      </w:r>
      <w:proofErr w:type="spellEnd"/>
      <w:r w:rsidRPr="00676712">
        <w:rPr>
          <w:rFonts w:ascii="Georgia" w:eastAsia="Times New Roman" w:hAnsi="Georgia" w:cs="Times New Roman"/>
          <w:color w:val="0C7DBB"/>
          <w:sz w:val="27"/>
          <w:szCs w:val="27"/>
          <w:u w:val="single"/>
        </w:rPr>
        <w:t xml:space="preserve"> et al., 2020</w:t>
      </w:r>
      <w:r w:rsidRPr="00676712">
        <w:rPr>
          <w:rFonts w:ascii="Georgia" w:eastAsia="Times New Roman" w:hAnsi="Georgia" w:cs="Times New Roman"/>
          <w:color w:val="2E2E2E"/>
          <w:sz w:val="27"/>
          <w:szCs w:val="27"/>
        </w:rPr>
        <w:fldChar w:fldCharType="end"/>
      </w:r>
      <w:r w:rsidRPr="00676712">
        <w:rPr>
          <w:rFonts w:ascii="Georgia" w:eastAsia="Times New Roman" w:hAnsi="Georgia" w:cs="Times New Roman"/>
          <w:color w:val="2E2E2E"/>
          <w:sz w:val="27"/>
          <w:szCs w:val="27"/>
        </w:rPr>
        <w:t>, </w:t>
      </w:r>
      <w:hyperlink r:id="rId8" w:anchor="bib0040" w:history="1">
        <w:r w:rsidRPr="00676712">
          <w:rPr>
            <w:rFonts w:ascii="Georgia" w:eastAsia="Times New Roman" w:hAnsi="Georgia" w:cs="Times New Roman"/>
            <w:color w:val="0C7DBB"/>
            <w:sz w:val="27"/>
            <w:szCs w:val="27"/>
            <w:u w:val="single"/>
          </w:rPr>
          <w:t>Shi et al., 2020</w:t>
        </w:r>
      </w:hyperlink>
      <w:r w:rsidRPr="00676712">
        <w:rPr>
          <w:rFonts w:ascii="Georgia" w:eastAsia="Times New Roman" w:hAnsi="Georgia" w:cs="Times New Roman"/>
          <w:color w:val="2E2E2E"/>
          <w:sz w:val="27"/>
          <w:szCs w:val="27"/>
        </w:rPr>
        <w:t>, </w:t>
      </w:r>
      <w:hyperlink r:id="rId9" w:anchor="bib0060" w:history="1">
        <w:r w:rsidRPr="00676712">
          <w:rPr>
            <w:rFonts w:ascii="Georgia" w:eastAsia="Times New Roman" w:hAnsi="Georgia" w:cs="Times New Roman"/>
            <w:color w:val="0C7DBB"/>
            <w:sz w:val="27"/>
            <w:szCs w:val="27"/>
            <w:u w:val="single"/>
          </w:rPr>
          <w:t>Zhang et al., 2020</w:t>
        </w:r>
      </w:hyperlink>
      <w:r w:rsidRPr="00676712">
        <w:rPr>
          <w:rFonts w:ascii="Georgia" w:eastAsia="Times New Roman" w:hAnsi="Georgia" w:cs="Times New Roman"/>
          <w:color w:val="2E2E2E"/>
          <w:sz w:val="27"/>
          <w:szCs w:val="27"/>
        </w:rPr>
        <w:t xml:space="preserve">). FFP as a replacement fluid for TPE may help in modulating the circulating inflammatory cytokines and </w:t>
      </w:r>
      <w:proofErr w:type="spellStart"/>
      <w:r w:rsidRPr="00676712">
        <w:rPr>
          <w:rFonts w:ascii="Georgia" w:eastAsia="Times New Roman" w:hAnsi="Georgia" w:cs="Times New Roman"/>
          <w:color w:val="2E2E2E"/>
          <w:sz w:val="27"/>
          <w:szCs w:val="27"/>
        </w:rPr>
        <w:t>hypercoagulable</w:t>
      </w:r>
      <w:proofErr w:type="spellEnd"/>
      <w:r w:rsidRPr="00676712">
        <w:rPr>
          <w:rFonts w:ascii="Georgia" w:eastAsia="Times New Roman" w:hAnsi="Georgia" w:cs="Times New Roman"/>
          <w:color w:val="2E2E2E"/>
          <w:sz w:val="27"/>
          <w:szCs w:val="27"/>
        </w:rPr>
        <w:t xml:space="preserve"> state by replacing the ADAMTS13 enzyme (</w:t>
      </w:r>
      <w:proofErr w:type="spellStart"/>
      <w:r w:rsidRPr="00676712">
        <w:rPr>
          <w:rFonts w:ascii="Georgia" w:eastAsia="Times New Roman" w:hAnsi="Georgia" w:cs="Times New Roman"/>
          <w:color w:val="2E2E2E"/>
          <w:sz w:val="27"/>
          <w:szCs w:val="27"/>
        </w:rPr>
        <w:fldChar w:fldCharType="begin"/>
      </w:r>
      <w:r w:rsidRPr="00676712">
        <w:rPr>
          <w:rFonts w:ascii="Georgia" w:eastAsia="Times New Roman" w:hAnsi="Georgia" w:cs="Times New Roman"/>
          <w:color w:val="2E2E2E"/>
          <w:sz w:val="27"/>
          <w:szCs w:val="27"/>
        </w:rPr>
        <w:instrText xml:space="preserve"> HYPERLINK "https://www.sciencedirect.com/science/article/pii/S120197122032289X" \l "bib0015" </w:instrText>
      </w:r>
      <w:r w:rsidRPr="00676712">
        <w:rPr>
          <w:rFonts w:ascii="Georgia" w:eastAsia="Times New Roman" w:hAnsi="Georgia" w:cs="Times New Roman"/>
          <w:color w:val="2E2E2E"/>
          <w:sz w:val="27"/>
          <w:szCs w:val="27"/>
        </w:rPr>
        <w:fldChar w:fldCharType="separate"/>
      </w:r>
      <w:r w:rsidRPr="00676712">
        <w:rPr>
          <w:rFonts w:ascii="Georgia" w:eastAsia="Times New Roman" w:hAnsi="Georgia" w:cs="Times New Roman"/>
          <w:color w:val="0C7DBB"/>
          <w:sz w:val="27"/>
          <w:szCs w:val="27"/>
          <w:u w:val="single"/>
        </w:rPr>
        <w:t>Focosi</w:t>
      </w:r>
      <w:proofErr w:type="spellEnd"/>
      <w:r w:rsidRPr="00676712">
        <w:rPr>
          <w:rFonts w:ascii="Georgia" w:eastAsia="Times New Roman" w:hAnsi="Georgia" w:cs="Times New Roman"/>
          <w:color w:val="0C7DBB"/>
          <w:sz w:val="27"/>
          <w:szCs w:val="27"/>
          <w:u w:val="single"/>
        </w:rPr>
        <w:t xml:space="preserve"> et al., 2020</w:t>
      </w:r>
      <w:r w:rsidRPr="00676712">
        <w:rPr>
          <w:rFonts w:ascii="Georgia" w:eastAsia="Times New Roman" w:hAnsi="Georgia" w:cs="Times New Roman"/>
          <w:color w:val="2E2E2E"/>
          <w:sz w:val="27"/>
          <w:szCs w:val="27"/>
        </w:rPr>
        <w:fldChar w:fldCharType="end"/>
      </w:r>
      <w:r w:rsidRPr="00676712">
        <w:rPr>
          <w:rFonts w:ascii="Georgia" w:eastAsia="Times New Roman" w:hAnsi="Georgia" w:cs="Times New Roman"/>
          <w:color w:val="2E2E2E"/>
          <w:sz w:val="27"/>
          <w:szCs w:val="27"/>
        </w:rPr>
        <w:t>). </w:t>
      </w:r>
      <w:proofErr w:type="spellStart"/>
      <w:r w:rsidRPr="00676712">
        <w:rPr>
          <w:rFonts w:ascii="Georgia" w:eastAsia="Times New Roman" w:hAnsi="Georgia" w:cs="Times New Roman"/>
          <w:color w:val="2E2E2E"/>
          <w:sz w:val="27"/>
          <w:szCs w:val="27"/>
        </w:rPr>
        <w:fldChar w:fldCharType="begin"/>
      </w:r>
      <w:r w:rsidRPr="00676712">
        <w:rPr>
          <w:rFonts w:ascii="Georgia" w:eastAsia="Times New Roman" w:hAnsi="Georgia" w:cs="Times New Roman"/>
          <w:color w:val="2E2E2E"/>
          <w:sz w:val="27"/>
          <w:szCs w:val="27"/>
        </w:rPr>
        <w:instrText xml:space="preserve"> HYPERLINK "https://www.sciencedirect.com/science/article/pii/S120197122032289X" \l "bib0025" </w:instrText>
      </w:r>
      <w:r w:rsidRPr="00676712">
        <w:rPr>
          <w:rFonts w:ascii="Georgia" w:eastAsia="Times New Roman" w:hAnsi="Georgia" w:cs="Times New Roman"/>
          <w:color w:val="2E2E2E"/>
          <w:sz w:val="27"/>
          <w:szCs w:val="27"/>
        </w:rPr>
        <w:fldChar w:fldCharType="separate"/>
      </w:r>
      <w:r w:rsidRPr="00676712">
        <w:rPr>
          <w:rFonts w:ascii="Georgia" w:eastAsia="Times New Roman" w:hAnsi="Georgia" w:cs="Times New Roman"/>
          <w:color w:val="0C7DBB"/>
          <w:sz w:val="27"/>
          <w:szCs w:val="27"/>
          <w:u w:val="single"/>
        </w:rPr>
        <w:t>Khamis</w:t>
      </w:r>
      <w:proofErr w:type="spellEnd"/>
      <w:r w:rsidRPr="00676712">
        <w:rPr>
          <w:rFonts w:ascii="Georgia" w:eastAsia="Times New Roman" w:hAnsi="Georgia" w:cs="Times New Roman"/>
          <w:color w:val="0C7DBB"/>
          <w:sz w:val="27"/>
          <w:szCs w:val="27"/>
          <w:u w:val="single"/>
        </w:rPr>
        <w:t xml:space="preserve"> et al. (2020)</w:t>
      </w:r>
      <w:r w:rsidRPr="00676712">
        <w:rPr>
          <w:rFonts w:ascii="Georgia" w:eastAsia="Times New Roman" w:hAnsi="Georgia" w:cs="Times New Roman"/>
          <w:color w:val="2E2E2E"/>
          <w:sz w:val="27"/>
          <w:szCs w:val="27"/>
        </w:rPr>
        <w:fldChar w:fldCharType="end"/>
      </w:r>
      <w:r w:rsidRPr="00676712">
        <w:rPr>
          <w:rFonts w:ascii="Georgia" w:eastAsia="Times New Roman" w:hAnsi="Georgia" w:cs="Times New Roman"/>
          <w:color w:val="2E2E2E"/>
          <w:sz w:val="27"/>
          <w:szCs w:val="27"/>
        </w:rPr>
        <w:t> in a case series of 31 patients with moderate to severe COVID-19 found that use of TPE was associated with significantly lower day 14 and day 28 mortality.</w:t>
      </w:r>
    </w:p>
    <w:p w:rsidR="00676712" w:rsidRPr="00676712" w:rsidRDefault="00676712" w:rsidP="00676712">
      <w:pPr>
        <w:spacing w:after="0" w:line="240" w:lineRule="auto"/>
        <w:rPr>
          <w:rFonts w:ascii="Georgia" w:eastAsia="Times New Roman" w:hAnsi="Georgia" w:cs="Times New Roman"/>
          <w:color w:val="2E2E2E"/>
          <w:sz w:val="27"/>
          <w:szCs w:val="27"/>
        </w:rPr>
      </w:pPr>
      <w:r w:rsidRPr="00676712">
        <w:rPr>
          <w:rFonts w:ascii="Georgia" w:eastAsia="Times New Roman" w:hAnsi="Georgia" w:cs="Times New Roman"/>
          <w:color w:val="2E2E2E"/>
          <w:sz w:val="27"/>
          <w:szCs w:val="27"/>
        </w:rPr>
        <w:t>The prolonged replication and shedding of SARS-CoV-2 virus has been demonstrated in critically ill patients with COVID-19 (</w:t>
      </w:r>
      <w:proofErr w:type="spellStart"/>
      <w:r w:rsidRPr="00676712">
        <w:rPr>
          <w:rFonts w:ascii="Georgia" w:eastAsia="Times New Roman" w:hAnsi="Georgia" w:cs="Times New Roman"/>
          <w:color w:val="2E2E2E"/>
          <w:sz w:val="27"/>
          <w:szCs w:val="27"/>
        </w:rPr>
        <w:fldChar w:fldCharType="begin"/>
      </w:r>
      <w:r w:rsidRPr="00676712">
        <w:rPr>
          <w:rFonts w:ascii="Georgia" w:eastAsia="Times New Roman" w:hAnsi="Georgia" w:cs="Times New Roman"/>
          <w:color w:val="2E2E2E"/>
          <w:sz w:val="27"/>
          <w:szCs w:val="27"/>
        </w:rPr>
        <w:instrText xml:space="preserve"> HYPERLINK "https://www.sciencedirect.com/science/article/pii/S120197122032289X" \l "bib0050" </w:instrText>
      </w:r>
      <w:r w:rsidRPr="00676712">
        <w:rPr>
          <w:rFonts w:ascii="Georgia" w:eastAsia="Times New Roman" w:hAnsi="Georgia" w:cs="Times New Roman"/>
          <w:color w:val="2E2E2E"/>
          <w:sz w:val="27"/>
          <w:szCs w:val="27"/>
        </w:rPr>
        <w:fldChar w:fldCharType="separate"/>
      </w:r>
      <w:r w:rsidRPr="00676712">
        <w:rPr>
          <w:rFonts w:ascii="Georgia" w:eastAsia="Times New Roman" w:hAnsi="Georgia" w:cs="Times New Roman"/>
          <w:color w:val="0C7DBB"/>
          <w:sz w:val="27"/>
          <w:szCs w:val="27"/>
          <w:u w:val="single"/>
        </w:rPr>
        <w:t>Vabre</w:t>
      </w:r>
      <w:proofErr w:type="spellEnd"/>
      <w:r w:rsidRPr="00676712">
        <w:rPr>
          <w:rFonts w:ascii="Georgia" w:eastAsia="Times New Roman" w:hAnsi="Georgia" w:cs="Times New Roman"/>
          <w:color w:val="0C7DBB"/>
          <w:sz w:val="27"/>
          <w:szCs w:val="27"/>
          <w:u w:val="single"/>
        </w:rPr>
        <w:t xml:space="preserve"> et al., 2020</w:t>
      </w:r>
      <w:r w:rsidRPr="00676712">
        <w:rPr>
          <w:rFonts w:ascii="Georgia" w:eastAsia="Times New Roman" w:hAnsi="Georgia" w:cs="Times New Roman"/>
          <w:color w:val="2E2E2E"/>
          <w:sz w:val="27"/>
          <w:szCs w:val="27"/>
        </w:rPr>
        <w:fldChar w:fldCharType="end"/>
      </w:r>
      <w:r w:rsidRPr="00676712">
        <w:rPr>
          <w:rFonts w:ascii="Georgia" w:eastAsia="Times New Roman" w:hAnsi="Georgia" w:cs="Times New Roman"/>
          <w:color w:val="2E2E2E"/>
          <w:sz w:val="27"/>
          <w:szCs w:val="27"/>
        </w:rPr>
        <w:t>, </w:t>
      </w:r>
      <w:proofErr w:type="spellStart"/>
      <w:r w:rsidRPr="00676712">
        <w:rPr>
          <w:rFonts w:ascii="Georgia" w:eastAsia="Times New Roman" w:hAnsi="Georgia" w:cs="Times New Roman"/>
          <w:color w:val="2E2E2E"/>
          <w:sz w:val="27"/>
          <w:szCs w:val="27"/>
        </w:rPr>
        <w:fldChar w:fldCharType="begin"/>
      </w:r>
      <w:r w:rsidRPr="00676712">
        <w:rPr>
          <w:rFonts w:ascii="Georgia" w:eastAsia="Times New Roman" w:hAnsi="Georgia" w:cs="Times New Roman"/>
          <w:color w:val="2E2E2E"/>
          <w:sz w:val="27"/>
          <w:szCs w:val="27"/>
        </w:rPr>
        <w:instrText xml:space="preserve"> HYPERLINK "https://www.sciencedirect.com/science/article/pii/S120197122032289X" \l "bib0015" </w:instrText>
      </w:r>
      <w:r w:rsidRPr="00676712">
        <w:rPr>
          <w:rFonts w:ascii="Georgia" w:eastAsia="Times New Roman" w:hAnsi="Georgia" w:cs="Times New Roman"/>
          <w:color w:val="2E2E2E"/>
          <w:sz w:val="27"/>
          <w:szCs w:val="27"/>
        </w:rPr>
        <w:fldChar w:fldCharType="separate"/>
      </w:r>
      <w:r w:rsidRPr="00676712">
        <w:rPr>
          <w:rFonts w:ascii="Georgia" w:eastAsia="Times New Roman" w:hAnsi="Georgia" w:cs="Times New Roman"/>
          <w:color w:val="0C7DBB"/>
          <w:sz w:val="27"/>
          <w:szCs w:val="27"/>
          <w:u w:val="single"/>
        </w:rPr>
        <w:t>Focosi</w:t>
      </w:r>
      <w:proofErr w:type="spellEnd"/>
      <w:r w:rsidRPr="00676712">
        <w:rPr>
          <w:rFonts w:ascii="Georgia" w:eastAsia="Times New Roman" w:hAnsi="Georgia" w:cs="Times New Roman"/>
          <w:color w:val="0C7DBB"/>
          <w:sz w:val="27"/>
          <w:szCs w:val="27"/>
          <w:u w:val="single"/>
        </w:rPr>
        <w:t xml:space="preserve"> et al., 2020</w:t>
      </w:r>
      <w:r w:rsidRPr="00676712">
        <w:rPr>
          <w:rFonts w:ascii="Georgia" w:eastAsia="Times New Roman" w:hAnsi="Georgia" w:cs="Times New Roman"/>
          <w:color w:val="2E2E2E"/>
          <w:sz w:val="27"/>
          <w:szCs w:val="27"/>
        </w:rPr>
        <w:fldChar w:fldCharType="end"/>
      </w:r>
      <w:r w:rsidRPr="00676712">
        <w:rPr>
          <w:rFonts w:ascii="Georgia" w:eastAsia="Times New Roman" w:hAnsi="Georgia" w:cs="Times New Roman"/>
          <w:color w:val="2E2E2E"/>
          <w:sz w:val="27"/>
          <w:szCs w:val="27"/>
        </w:rPr>
        <w:t>). CP from recovered donors can help in inactivation of the virus by neutralizing antibodies (</w:t>
      </w:r>
      <w:proofErr w:type="spellStart"/>
      <w:r w:rsidRPr="00676712">
        <w:rPr>
          <w:rFonts w:ascii="Georgia" w:eastAsia="Times New Roman" w:hAnsi="Georgia" w:cs="Times New Roman"/>
          <w:color w:val="2E2E2E"/>
          <w:sz w:val="27"/>
          <w:szCs w:val="27"/>
        </w:rPr>
        <w:fldChar w:fldCharType="begin"/>
      </w:r>
      <w:r w:rsidRPr="00676712">
        <w:rPr>
          <w:rFonts w:ascii="Georgia" w:eastAsia="Times New Roman" w:hAnsi="Georgia" w:cs="Times New Roman"/>
          <w:color w:val="2E2E2E"/>
          <w:sz w:val="27"/>
          <w:szCs w:val="27"/>
        </w:rPr>
        <w:instrText xml:space="preserve"> HYPERLINK "https://www.sciencedirect.com/science/article/pii/S120197122032289X" \l "bib0015" </w:instrText>
      </w:r>
      <w:r w:rsidRPr="00676712">
        <w:rPr>
          <w:rFonts w:ascii="Georgia" w:eastAsia="Times New Roman" w:hAnsi="Georgia" w:cs="Times New Roman"/>
          <w:color w:val="2E2E2E"/>
          <w:sz w:val="27"/>
          <w:szCs w:val="27"/>
        </w:rPr>
        <w:fldChar w:fldCharType="separate"/>
      </w:r>
      <w:r w:rsidRPr="00676712">
        <w:rPr>
          <w:rFonts w:ascii="Georgia" w:eastAsia="Times New Roman" w:hAnsi="Georgia" w:cs="Times New Roman"/>
          <w:color w:val="0C7DBB"/>
          <w:sz w:val="27"/>
          <w:szCs w:val="27"/>
          <w:u w:val="single"/>
        </w:rPr>
        <w:t>Focosi</w:t>
      </w:r>
      <w:proofErr w:type="spellEnd"/>
      <w:r w:rsidRPr="00676712">
        <w:rPr>
          <w:rFonts w:ascii="Georgia" w:eastAsia="Times New Roman" w:hAnsi="Georgia" w:cs="Times New Roman"/>
          <w:color w:val="0C7DBB"/>
          <w:sz w:val="27"/>
          <w:szCs w:val="27"/>
          <w:u w:val="single"/>
        </w:rPr>
        <w:t xml:space="preserve"> et al., 2020</w:t>
      </w:r>
      <w:r w:rsidRPr="00676712">
        <w:rPr>
          <w:rFonts w:ascii="Georgia" w:eastAsia="Times New Roman" w:hAnsi="Georgia" w:cs="Times New Roman"/>
          <w:color w:val="2E2E2E"/>
          <w:sz w:val="27"/>
          <w:szCs w:val="27"/>
        </w:rPr>
        <w:fldChar w:fldCharType="end"/>
      </w:r>
      <w:r w:rsidRPr="00676712">
        <w:rPr>
          <w:rFonts w:ascii="Georgia" w:eastAsia="Times New Roman" w:hAnsi="Georgia" w:cs="Times New Roman"/>
          <w:color w:val="2E2E2E"/>
          <w:sz w:val="27"/>
          <w:szCs w:val="27"/>
        </w:rPr>
        <w:t>). The randomized controlled trials (RCTs) using CP in severe COVID-19 showed variable success (</w:t>
      </w:r>
      <w:hyperlink r:id="rId10" w:anchor="bib0030" w:history="1">
        <w:r w:rsidRPr="00676712">
          <w:rPr>
            <w:rFonts w:ascii="Georgia" w:eastAsia="Times New Roman" w:hAnsi="Georgia" w:cs="Times New Roman"/>
            <w:color w:val="0C7DBB"/>
            <w:sz w:val="27"/>
            <w:szCs w:val="27"/>
            <w:u w:val="single"/>
          </w:rPr>
          <w:t>Li et al., 2020</w:t>
        </w:r>
      </w:hyperlink>
      <w:r w:rsidRPr="00676712">
        <w:rPr>
          <w:rFonts w:ascii="Georgia" w:eastAsia="Times New Roman" w:hAnsi="Georgia" w:cs="Times New Roman"/>
          <w:color w:val="2E2E2E"/>
          <w:sz w:val="27"/>
          <w:szCs w:val="27"/>
        </w:rPr>
        <w:t>, </w:t>
      </w:r>
      <w:hyperlink r:id="rId11" w:anchor="bib0035" w:history="1">
        <w:r w:rsidRPr="00676712">
          <w:rPr>
            <w:rFonts w:ascii="Georgia" w:eastAsia="Times New Roman" w:hAnsi="Georgia" w:cs="Times New Roman"/>
            <w:color w:val="0C7DBB"/>
            <w:sz w:val="27"/>
            <w:szCs w:val="27"/>
            <w:u w:val="single"/>
          </w:rPr>
          <w:t>Liu et al., 2020</w:t>
        </w:r>
      </w:hyperlink>
      <w:r w:rsidRPr="00676712">
        <w:rPr>
          <w:rFonts w:ascii="Georgia" w:eastAsia="Times New Roman" w:hAnsi="Georgia" w:cs="Times New Roman"/>
          <w:color w:val="2E2E2E"/>
          <w:sz w:val="27"/>
          <w:szCs w:val="27"/>
        </w:rPr>
        <w:t>). </w:t>
      </w:r>
      <w:hyperlink r:id="rId12" w:anchor="bib0035" w:history="1">
        <w:r w:rsidRPr="00676712">
          <w:rPr>
            <w:rFonts w:ascii="Georgia" w:eastAsia="Times New Roman" w:hAnsi="Georgia" w:cs="Times New Roman"/>
            <w:color w:val="0C7DBB"/>
            <w:sz w:val="27"/>
            <w:szCs w:val="27"/>
            <w:u w:val="single"/>
          </w:rPr>
          <w:t>Liu et al. (2020)</w:t>
        </w:r>
      </w:hyperlink>
      <w:r w:rsidRPr="00676712">
        <w:rPr>
          <w:rFonts w:ascii="Georgia" w:eastAsia="Times New Roman" w:hAnsi="Georgia" w:cs="Times New Roman"/>
          <w:color w:val="2E2E2E"/>
          <w:sz w:val="27"/>
          <w:szCs w:val="27"/>
        </w:rPr>
        <w:t> in a retrospective RCT found that use of CP was associated with reduced oxygen requirement and mortality benefit in non-intubated patients [Hazard ratio (HR) = 0.19]. In another prospective RCT, which was stopped prematurely, day 28 mortality was significantly lower in patients with severe COVID-19, but not for life-threatening disease (</w:t>
      </w:r>
      <w:hyperlink r:id="rId13" w:anchor="bib0030" w:history="1">
        <w:r w:rsidRPr="00676712">
          <w:rPr>
            <w:rFonts w:ascii="Georgia" w:eastAsia="Times New Roman" w:hAnsi="Georgia" w:cs="Times New Roman"/>
            <w:color w:val="0C7DBB"/>
            <w:sz w:val="27"/>
            <w:szCs w:val="27"/>
            <w:u w:val="single"/>
          </w:rPr>
          <w:t>Li et al., 2020</w:t>
        </w:r>
      </w:hyperlink>
      <w:r w:rsidRPr="00676712">
        <w:rPr>
          <w:rFonts w:ascii="Georgia" w:eastAsia="Times New Roman" w:hAnsi="Georgia" w:cs="Times New Roman"/>
          <w:color w:val="2E2E2E"/>
          <w:sz w:val="27"/>
          <w:szCs w:val="27"/>
        </w:rPr>
        <w:t>).</w:t>
      </w:r>
    </w:p>
    <w:p w:rsidR="00676712" w:rsidRPr="00676712" w:rsidRDefault="00676712" w:rsidP="00676712">
      <w:pPr>
        <w:spacing w:after="0" w:line="240" w:lineRule="auto"/>
        <w:rPr>
          <w:rFonts w:ascii="Georgia" w:eastAsia="Times New Roman" w:hAnsi="Georgia" w:cs="Times New Roman"/>
          <w:color w:val="2E2E2E"/>
          <w:sz w:val="27"/>
          <w:szCs w:val="27"/>
        </w:rPr>
      </w:pPr>
      <w:r w:rsidRPr="00676712">
        <w:rPr>
          <w:rFonts w:ascii="Georgia" w:eastAsia="Times New Roman" w:hAnsi="Georgia" w:cs="Times New Roman"/>
          <w:color w:val="2E2E2E"/>
          <w:sz w:val="27"/>
          <w:szCs w:val="27"/>
        </w:rPr>
        <w:t>The sequential use of TPE and CP as a therapeutic option in severe COVID-19 by removal of inflammatory cytokines followed by transfusion of neutralizing antibodies had never been explored (</w:t>
      </w:r>
      <w:bookmarkStart w:id="10" w:name="bbib0020"/>
      <w:proofErr w:type="spellStart"/>
      <w:r w:rsidRPr="00676712">
        <w:rPr>
          <w:rFonts w:ascii="Georgia" w:eastAsia="Times New Roman" w:hAnsi="Georgia" w:cs="Times New Roman"/>
          <w:color w:val="2E2E2E"/>
          <w:sz w:val="27"/>
          <w:szCs w:val="27"/>
        </w:rPr>
        <w:fldChar w:fldCharType="begin"/>
      </w:r>
      <w:r w:rsidRPr="00676712">
        <w:rPr>
          <w:rFonts w:ascii="Georgia" w:eastAsia="Times New Roman" w:hAnsi="Georgia" w:cs="Times New Roman"/>
          <w:color w:val="2E2E2E"/>
          <w:sz w:val="27"/>
          <w:szCs w:val="27"/>
        </w:rPr>
        <w:instrText xml:space="preserve"> HYPERLINK "https://www.sciencedirect.com/science/article/pii/S120197122032289X" \l "bib0020" </w:instrText>
      </w:r>
      <w:r w:rsidRPr="00676712">
        <w:rPr>
          <w:rFonts w:ascii="Georgia" w:eastAsia="Times New Roman" w:hAnsi="Georgia" w:cs="Times New Roman"/>
          <w:color w:val="2E2E2E"/>
          <w:sz w:val="27"/>
          <w:szCs w:val="27"/>
        </w:rPr>
        <w:fldChar w:fldCharType="separate"/>
      </w:r>
      <w:r w:rsidRPr="00676712">
        <w:rPr>
          <w:rFonts w:ascii="Georgia" w:eastAsia="Times New Roman" w:hAnsi="Georgia" w:cs="Times New Roman"/>
          <w:color w:val="0C7DBB"/>
          <w:sz w:val="27"/>
          <w:szCs w:val="27"/>
          <w:u w:val="single"/>
        </w:rPr>
        <w:t>Kesici</w:t>
      </w:r>
      <w:proofErr w:type="spellEnd"/>
      <w:r w:rsidRPr="00676712">
        <w:rPr>
          <w:rFonts w:ascii="Georgia" w:eastAsia="Times New Roman" w:hAnsi="Georgia" w:cs="Times New Roman"/>
          <w:color w:val="0C7DBB"/>
          <w:sz w:val="27"/>
          <w:szCs w:val="27"/>
          <w:u w:val="single"/>
        </w:rPr>
        <w:t xml:space="preserve"> et al., 2020</w:t>
      </w:r>
      <w:r w:rsidRPr="00676712">
        <w:rPr>
          <w:rFonts w:ascii="Georgia" w:eastAsia="Times New Roman" w:hAnsi="Georgia" w:cs="Times New Roman"/>
          <w:color w:val="2E2E2E"/>
          <w:sz w:val="27"/>
          <w:szCs w:val="27"/>
        </w:rPr>
        <w:fldChar w:fldCharType="end"/>
      </w:r>
      <w:bookmarkEnd w:id="10"/>
      <w:r w:rsidRPr="00676712">
        <w:rPr>
          <w:rFonts w:ascii="Georgia" w:eastAsia="Times New Roman" w:hAnsi="Georgia" w:cs="Times New Roman"/>
          <w:color w:val="2E2E2E"/>
          <w:sz w:val="27"/>
          <w:szCs w:val="27"/>
        </w:rPr>
        <w:t>, </w:t>
      </w:r>
      <w:proofErr w:type="spellStart"/>
      <w:r w:rsidRPr="00676712">
        <w:rPr>
          <w:rFonts w:ascii="Georgia" w:eastAsia="Times New Roman" w:hAnsi="Georgia" w:cs="Times New Roman"/>
          <w:color w:val="2E2E2E"/>
          <w:sz w:val="27"/>
          <w:szCs w:val="27"/>
        </w:rPr>
        <w:fldChar w:fldCharType="begin"/>
      </w:r>
      <w:r w:rsidRPr="00676712">
        <w:rPr>
          <w:rFonts w:ascii="Georgia" w:eastAsia="Times New Roman" w:hAnsi="Georgia" w:cs="Times New Roman"/>
          <w:color w:val="2E2E2E"/>
          <w:sz w:val="27"/>
          <w:szCs w:val="27"/>
        </w:rPr>
        <w:instrText xml:space="preserve"> HYPERLINK "https://www.sciencedirect.com/science/article/pii/S120197122032289X" \l "bib0015" </w:instrText>
      </w:r>
      <w:r w:rsidRPr="00676712">
        <w:rPr>
          <w:rFonts w:ascii="Georgia" w:eastAsia="Times New Roman" w:hAnsi="Georgia" w:cs="Times New Roman"/>
          <w:color w:val="2E2E2E"/>
          <w:sz w:val="27"/>
          <w:szCs w:val="27"/>
        </w:rPr>
        <w:fldChar w:fldCharType="separate"/>
      </w:r>
      <w:r w:rsidRPr="00676712">
        <w:rPr>
          <w:rFonts w:ascii="Georgia" w:eastAsia="Times New Roman" w:hAnsi="Georgia" w:cs="Times New Roman"/>
          <w:color w:val="0C7DBB"/>
          <w:sz w:val="27"/>
          <w:szCs w:val="27"/>
          <w:u w:val="single"/>
        </w:rPr>
        <w:t>Focosi</w:t>
      </w:r>
      <w:proofErr w:type="spellEnd"/>
      <w:r w:rsidRPr="00676712">
        <w:rPr>
          <w:rFonts w:ascii="Georgia" w:eastAsia="Times New Roman" w:hAnsi="Georgia" w:cs="Times New Roman"/>
          <w:color w:val="0C7DBB"/>
          <w:sz w:val="27"/>
          <w:szCs w:val="27"/>
          <w:u w:val="single"/>
        </w:rPr>
        <w:t xml:space="preserve"> et al., 2020</w:t>
      </w:r>
      <w:r w:rsidRPr="00676712">
        <w:rPr>
          <w:rFonts w:ascii="Georgia" w:eastAsia="Times New Roman" w:hAnsi="Georgia" w:cs="Times New Roman"/>
          <w:color w:val="2E2E2E"/>
          <w:sz w:val="27"/>
          <w:szCs w:val="27"/>
        </w:rPr>
        <w:fldChar w:fldCharType="end"/>
      </w:r>
      <w:bookmarkEnd w:id="9"/>
      <w:r w:rsidRPr="00676712">
        <w:rPr>
          <w:rFonts w:ascii="Georgia" w:eastAsia="Times New Roman" w:hAnsi="Georgia" w:cs="Times New Roman"/>
          <w:color w:val="2E2E2E"/>
          <w:sz w:val="27"/>
          <w:szCs w:val="27"/>
        </w:rPr>
        <w:t>).</w:t>
      </w:r>
    </w:p>
    <w:p w:rsidR="00676712" w:rsidRPr="00676712" w:rsidRDefault="00676712" w:rsidP="00676712">
      <w:pPr>
        <w:spacing w:after="0" w:line="240" w:lineRule="auto"/>
        <w:rPr>
          <w:rFonts w:ascii="Georgia" w:eastAsia="Times New Roman" w:hAnsi="Georgia" w:cs="Times New Roman"/>
          <w:color w:val="2E2E2E"/>
          <w:sz w:val="27"/>
          <w:szCs w:val="27"/>
        </w:rPr>
      </w:pPr>
      <w:r w:rsidRPr="00676712">
        <w:rPr>
          <w:rFonts w:ascii="Georgia" w:eastAsia="Times New Roman" w:hAnsi="Georgia" w:cs="Times New Roman"/>
          <w:color w:val="2E2E2E"/>
          <w:sz w:val="27"/>
          <w:szCs w:val="27"/>
        </w:rPr>
        <w:t>We used sequential TPE and CP early in the disease course with a median of 9 (6−21) days from symptoms onset. The day 28 mortality in these patients was only 28.6%. </w:t>
      </w:r>
      <w:bookmarkStart w:id="11" w:name="bbib0005"/>
      <w:r w:rsidRPr="00676712">
        <w:rPr>
          <w:rFonts w:ascii="Georgia" w:eastAsia="Times New Roman" w:hAnsi="Georgia" w:cs="Times New Roman"/>
          <w:color w:val="2E2E2E"/>
          <w:sz w:val="27"/>
          <w:szCs w:val="27"/>
        </w:rPr>
        <w:fldChar w:fldCharType="begin"/>
      </w:r>
      <w:r w:rsidRPr="00676712">
        <w:rPr>
          <w:rFonts w:ascii="Georgia" w:eastAsia="Times New Roman" w:hAnsi="Georgia" w:cs="Times New Roman"/>
          <w:color w:val="2E2E2E"/>
          <w:sz w:val="27"/>
          <w:szCs w:val="27"/>
        </w:rPr>
        <w:instrText xml:space="preserve"> HYPERLINK "https://www.sciencedirect.com/science/article/pii/S120197122032289X" \l "bib0005" </w:instrText>
      </w:r>
      <w:r w:rsidRPr="00676712">
        <w:rPr>
          <w:rFonts w:ascii="Georgia" w:eastAsia="Times New Roman" w:hAnsi="Georgia" w:cs="Times New Roman"/>
          <w:color w:val="2E2E2E"/>
          <w:sz w:val="27"/>
          <w:szCs w:val="27"/>
        </w:rPr>
        <w:fldChar w:fldCharType="separate"/>
      </w:r>
      <w:r w:rsidRPr="00676712">
        <w:rPr>
          <w:rFonts w:ascii="Georgia" w:eastAsia="Times New Roman" w:hAnsi="Georgia" w:cs="Times New Roman"/>
          <w:color w:val="0C7DBB"/>
          <w:sz w:val="27"/>
          <w:szCs w:val="27"/>
          <w:u w:val="single"/>
        </w:rPr>
        <w:t>Armstrong et al. (2020</w:t>
      </w:r>
      <w:r w:rsidRPr="00676712">
        <w:rPr>
          <w:rFonts w:ascii="Georgia" w:eastAsia="Times New Roman" w:hAnsi="Georgia" w:cs="Times New Roman"/>
          <w:color w:val="2E2E2E"/>
          <w:sz w:val="27"/>
          <w:szCs w:val="27"/>
        </w:rPr>
        <w:fldChar w:fldCharType="end"/>
      </w:r>
      <w:bookmarkEnd w:id="11"/>
      <w:r w:rsidRPr="00676712">
        <w:rPr>
          <w:rFonts w:ascii="Georgia" w:eastAsia="Times New Roman" w:hAnsi="Georgia" w:cs="Times New Roman"/>
          <w:color w:val="2E2E2E"/>
          <w:sz w:val="27"/>
          <w:szCs w:val="27"/>
        </w:rPr>
        <w:t>) in systematic meta-analysis reported combined ICU mortality rate (95% CI) in COVID-19 patients of 41.6% (34.0–49.7%). The mortality in patients requiring IMV was reported at 59% in another review of epidemiological studies in COVID-19 (</w:t>
      </w:r>
      <w:bookmarkStart w:id="12" w:name="bbib0045"/>
      <w:proofErr w:type="spellStart"/>
      <w:r w:rsidRPr="00676712">
        <w:rPr>
          <w:rFonts w:ascii="Georgia" w:eastAsia="Times New Roman" w:hAnsi="Georgia" w:cs="Times New Roman"/>
          <w:color w:val="2E2E2E"/>
          <w:sz w:val="27"/>
          <w:szCs w:val="27"/>
        </w:rPr>
        <w:fldChar w:fldCharType="begin"/>
      </w:r>
      <w:r w:rsidRPr="00676712">
        <w:rPr>
          <w:rFonts w:ascii="Georgia" w:eastAsia="Times New Roman" w:hAnsi="Georgia" w:cs="Times New Roman"/>
          <w:color w:val="2E2E2E"/>
          <w:sz w:val="27"/>
          <w:szCs w:val="27"/>
        </w:rPr>
        <w:instrText xml:space="preserve"> HYPERLINK "https://www.sciencedirect.com/science/article/pii/S120197122032289X" \l "bib0045" </w:instrText>
      </w:r>
      <w:r w:rsidRPr="00676712">
        <w:rPr>
          <w:rFonts w:ascii="Georgia" w:eastAsia="Times New Roman" w:hAnsi="Georgia" w:cs="Times New Roman"/>
          <w:color w:val="2E2E2E"/>
          <w:sz w:val="27"/>
          <w:szCs w:val="27"/>
        </w:rPr>
        <w:fldChar w:fldCharType="separate"/>
      </w:r>
      <w:r w:rsidRPr="00676712">
        <w:rPr>
          <w:rFonts w:ascii="Georgia" w:eastAsia="Times New Roman" w:hAnsi="Georgia" w:cs="Times New Roman"/>
          <w:color w:val="0C7DBB"/>
          <w:sz w:val="27"/>
          <w:szCs w:val="27"/>
          <w:u w:val="single"/>
        </w:rPr>
        <w:t>Tzotzos</w:t>
      </w:r>
      <w:proofErr w:type="spellEnd"/>
      <w:r w:rsidRPr="00676712">
        <w:rPr>
          <w:rFonts w:ascii="Georgia" w:eastAsia="Times New Roman" w:hAnsi="Georgia" w:cs="Times New Roman"/>
          <w:color w:val="0C7DBB"/>
          <w:sz w:val="27"/>
          <w:szCs w:val="27"/>
          <w:u w:val="single"/>
        </w:rPr>
        <w:t xml:space="preserve"> et al., 2020</w:t>
      </w:r>
      <w:r w:rsidRPr="00676712">
        <w:rPr>
          <w:rFonts w:ascii="Georgia" w:eastAsia="Times New Roman" w:hAnsi="Georgia" w:cs="Times New Roman"/>
          <w:color w:val="2E2E2E"/>
          <w:sz w:val="27"/>
          <w:szCs w:val="27"/>
        </w:rPr>
        <w:fldChar w:fldCharType="end"/>
      </w:r>
      <w:bookmarkEnd w:id="12"/>
      <w:r w:rsidRPr="00676712">
        <w:rPr>
          <w:rFonts w:ascii="Georgia" w:eastAsia="Times New Roman" w:hAnsi="Georgia" w:cs="Times New Roman"/>
          <w:color w:val="2E2E2E"/>
          <w:sz w:val="27"/>
          <w:szCs w:val="27"/>
        </w:rPr>
        <w:t>).</w:t>
      </w:r>
    </w:p>
    <w:p w:rsidR="00676712" w:rsidRPr="00676712" w:rsidRDefault="00676712" w:rsidP="00676712">
      <w:pPr>
        <w:spacing w:after="240" w:line="240" w:lineRule="auto"/>
        <w:rPr>
          <w:rFonts w:ascii="Georgia" w:eastAsia="Times New Roman" w:hAnsi="Georgia" w:cs="Times New Roman"/>
          <w:color w:val="2E2E2E"/>
          <w:sz w:val="27"/>
          <w:szCs w:val="27"/>
        </w:rPr>
      </w:pPr>
      <w:r w:rsidRPr="00676712">
        <w:rPr>
          <w:rFonts w:ascii="Georgia" w:eastAsia="Times New Roman" w:hAnsi="Georgia" w:cs="Times New Roman"/>
          <w:color w:val="2E2E2E"/>
          <w:sz w:val="27"/>
          <w:szCs w:val="27"/>
        </w:rPr>
        <w:t>Three patients developed transient hypotension (systolic blood pressure less than 90 mm Hg) which responded to crystalloid fluid boluses. None of the patients developed transfusion-associated complications (like hemolytic transfusion reactions, transfusion-related acute lung injury, or fluid overload). Three patients developed secondary bacterial sepsis, all ventilator associated pneumonia, within 14 days of therapy, and one patient died.</w:t>
      </w:r>
    </w:p>
    <w:p w:rsidR="00676712" w:rsidRPr="00676712" w:rsidRDefault="00676712" w:rsidP="00676712">
      <w:pPr>
        <w:spacing w:after="240" w:line="240" w:lineRule="auto"/>
        <w:rPr>
          <w:rFonts w:ascii="Georgia" w:eastAsia="Times New Roman" w:hAnsi="Georgia" w:cs="Times New Roman"/>
          <w:color w:val="2E2E2E"/>
          <w:sz w:val="27"/>
          <w:szCs w:val="27"/>
        </w:rPr>
      </w:pPr>
      <w:r w:rsidRPr="00676712">
        <w:rPr>
          <w:rFonts w:ascii="Georgia" w:eastAsia="Times New Roman" w:hAnsi="Georgia" w:cs="Times New Roman"/>
          <w:color w:val="2E2E2E"/>
          <w:sz w:val="27"/>
          <w:szCs w:val="27"/>
        </w:rPr>
        <w:t>This study has few limitations. Firstly, the number of patients was small with no case-control. Secondly, there may be confounding effects of other therapies like corticosteroids besides TPE and CP transfusion. Finally, the effect of therapy in preventing the need of IMV could not be demonstrated as all patients were already on IMV.</w:t>
      </w:r>
    </w:p>
    <w:p w:rsidR="00676712" w:rsidRDefault="00676712"/>
    <w:p w:rsidR="00676712" w:rsidRDefault="00676712"/>
    <w:p w:rsidR="00676712" w:rsidRDefault="00676712"/>
    <w:p w:rsidR="00676712" w:rsidRPr="00676712" w:rsidRDefault="00676712" w:rsidP="00676712">
      <w:pPr>
        <w:spacing w:before="100" w:beforeAutospacing="1" w:after="100" w:afterAutospacing="1" w:line="240" w:lineRule="auto"/>
        <w:outlineLvl w:val="1"/>
        <w:rPr>
          <w:rFonts w:ascii="Georgia" w:eastAsia="Times New Roman" w:hAnsi="Georgia" w:cs="Times New Roman"/>
          <w:b/>
          <w:bCs/>
          <w:color w:val="505050"/>
          <w:sz w:val="36"/>
          <w:szCs w:val="36"/>
        </w:rPr>
      </w:pPr>
      <w:r w:rsidRPr="00676712">
        <w:rPr>
          <w:rFonts w:ascii="Georgia" w:eastAsia="Times New Roman" w:hAnsi="Georgia" w:cs="Times New Roman"/>
          <w:b/>
          <w:bCs/>
          <w:color w:val="505050"/>
          <w:sz w:val="36"/>
          <w:szCs w:val="36"/>
        </w:rPr>
        <w:t>Conclusion</w:t>
      </w:r>
    </w:p>
    <w:p w:rsidR="00676712" w:rsidRPr="00676712" w:rsidRDefault="00676712" w:rsidP="00676712">
      <w:pPr>
        <w:spacing w:after="240" w:line="240" w:lineRule="auto"/>
        <w:rPr>
          <w:rFonts w:ascii="Georgia" w:eastAsia="Times New Roman" w:hAnsi="Georgia" w:cs="Times New Roman"/>
          <w:color w:val="2E2E2E"/>
          <w:sz w:val="27"/>
          <w:szCs w:val="27"/>
        </w:rPr>
      </w:pPr>
      <w:r w:rsidRPr="00676712">
        <w:rPr>
          <w:rFonts w:ascii="Georgia" w:eastAsia="Times New Roman" w:hAnsi="Georgia" w:cs="Times New Roman"/>
          <w:color w:val="2E2E2E"/>
          <w:sz w:val="27"/>
          <w:szCs w:val="27"/>
        </w:rPr>
        <w:t>This case series demonstrated the sequential use of TPE followed by CP transfusion as a therapeutic option in critical COVID-19 patients with ARDS. We propose RCTs to further explore this sequential treatment in severe to critical COVID-19.</w:t>
      </w:r>
    </w:p>
    <w:p w:rsidR="00676712" w:rsidRDefault="00676712">
      <w:bookmarkStart w:id="13" w:name="_GoBack"/>
      <w:bookmarkEnd w:id="13"/>
    </w:p>
    <w:sectPr w:rsidR="006767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712"/>
    <w:rsid w:val="00676712"/>
    <w:rsid w:val="00772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778E"/>
  <w15:chartTrackingRefBased/>
  <w15:docId w15:val="{BCD0077E-D5B6-43C7-9411-9109D72A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67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878978">
      <w:bodyDiv w:val="1"/>
      <w:marLeft w:val="0"/>
      <w:marRight w:val="0"/>
      <w:marTop w:val="0"/>
      <w:marBottom w:val="0"/>
      <w:divBdr>
        <w:top w:val="none" w:sz="0" w:space="0" w:color="auto"/>
        <w:left w:val="none" w:sz="0" w:space="0" w:color="auto"/>
        <w:bottom w:val="none" w:sz="0" w:space="0" w:color="auto"/>
        <w:right w:val="none" w:sz="0" w:space="0" w:color="auto"/>
      </w:divBdr>
      <w:divsChild>
        <w:div w:id="1059748270">
          <w:marLeft w:val="0"/>
          <w:marRight w:val="0"/>
          <w:marTop w:val="0"/>
          <w:marBottom w:val="480"/>
          <w:divBdr>
            <w:top w:val="none" w:sz="0" w:space="0" w:color="auto"/>
            <w:left w:val="none" w:sz="0" w:space="0" w:color="auto"/>
            <w:bottom w:val="single" w:sz="12" w:space="24" w:color="EBEBEB"/>
            <w:right w:val="none" w:sz="0" w:space="0" w:color="auto"/>
          </w:divBdr>
          <w:divsChild>
            <w:div w:id="1302230579">
              <w:marLeft w:val="0"/>
              <w:marRight w:val="0"/>
              <w:marTop w:val="0"/>
              <w:marBottom w:val="0"/>
              <w:divBdr>
                <w:top w:val="none" w:sz="0" w:space="0" w:color="auto"/>
                <w:left w:val="none" w:sz="0" w:space="0" w:color="auto"/>
                <w:bottom w:val="none" w:sz="0" w:space="0" w:color="auto"/>
                <w:right w:val="none" w:sz="0" w:space="0" w:color="auto"/>
              </w:divBdr>
              <w:divsChild>
                <w:div w:id="1778521165">
                  <w:marLeft w:val="0"/>
                  <w:marRight w:val="0"/>
                  <w:marTop w:val="0"/>
                  <w:marBottom w:val="0"/>
                  <w:divBdr>
                    <w:top w:val="none" w:sz="0" w:space="0" w:color="auto"/>
                    <w:left w:val="none" w:sz="0" w:space="0" w:color="auto"/>
                    <w:bottom w:val="none" w:sz="0" w:space="0" w:color="auto"/>
                    <w:right w:val="none" w:sz="0" w:space="0" w:color="auto"/>
                  </w:divBdr>
                </w:div>
                <w:div w:id="1491865242">
                  <w:marLeft w:val="0"/>
                  <w:marRight w:val="0"/>
                  <w:marTop w:val="0"/>
                  <w:marBottom w:val="0"/>
                  <w:divBdr>
                    <w:top w:val="none" w:sz="0" w:space="0" w:color="auto"/>
                    <w:left w:val="none" w:sz="0" w:space="0" w:color="auto"/>
                    <w:bottom w:val="none" w:sz="0" w:space="0" w:color="auto"/>
                    <w:right w:val="none" w:sz="0" w:space="0" w:color="auto"/>
                  </w:divBdr>
                </w:div>
                <w:div w:id="883448356">
                  <w:marLeft w:val="0"/>
                  <w:marRight w:val="0"/>
                  <w:marTop w:val="0"/>
                  <w:marBottom w:val="0"/>
                  <w:divBdr>
                    <w:top w:val="none" w:sz="0" w:space="0" w:color="auto"/>
                    <w:left w:val="none" w:sz="0" w:space="0" w:color="auto"/>
                    <w:bottom w:val="none" w:sz="0" w:space="0" w:color="auto"/>
                    <w:right w:val="none" w:sz="0" w:space="0" w:color="auto"/>
                  </w:divBdr>
                </w:div>
                <w:div w:id="763186096">
                  <w:marLeft w:val="0"/>
                  <w:marRight w:val="0"/>
                  <w:marTop w:val="0"/>
                  <w:marBottom w:val="0"/>
                  <w:divBdr>
                    <w:top w:val="none" w:sz="0" w:space="0" w:color="auto"/>
                    <w:left w:val="none" w:sz="0" w:space="0" w:color="auto"/>
                    <w:bottom w:val="none" w:sz="0" w:space="0" w:color="auto"/>
                    <w:right w:val="none" w:sz="0" w:space="0" w:color="auto"/>
                  </w:divBdr>
                </w:div>
                <w:div w:id="1021324006">
                  <w:marLeft w:val="0"/>
                  <w:marRight w:val="0"/>
                  <w:marTop w:val="0"/>
                  <w:marBottom w:val="0"/>
                  <w:divBdr>
                    <w:top w:val="none" w:sz="0" w:space="0" w:color="auto"/>
                    <w:left w:val="none" w:sz="0" w:space="0" w:color="auto"/>
                    <w:bottom w:val="none" w:sz="0" w:space="0" w:color="auto"/>
                    <w:right w:val="none" w:sz="0" w:space="0" w:color="auto"/>
                  </w:divBdr>
                </w:div>
                <w:div w:id="1311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1648">
          <w:marLeft w:val="0"/>
          <w:marRight w:val="0"/>
          <w:marTop w:val="0"/>
          <w:marBottom w:val="0"/>
          <w:divBdr>
            <w:top w:val="none" w:sz="0" w:space="0" w:color="auto"/>
            <w:left w:val="none" w:sz="0" w:space="0" w:color="auto"/>
            <w:bottom w:val="none" w:sz="0" w:space="0" w:color="auto"/>
            <w:right w:val="none" w:sz="0" w:space="0" w:color="auto"/>
          </w:divBdr>
          <w:divsChild>
            <w:div w:id="1503542956">
              <w:marLeft w:val="0"/>
              <w:marRight w:val="0"/>
              <w:marTop w:val="0"/>
              <w:marBottom w:val="0"/>
              <w:divBdr>
                <w:top w:val="none" w:sz="0" w:space="0" w:color="auto"/>
                <w:left w:val="none" w:sz="0" w:space="0" w:color="auto"/>
                <w:bottom w:val="none" w:sz="0" w:space="0" w:color="auto"/>
                <w:right w:val="none" w:sz="0" w:space="0" w:color="auto"/>
              </w:divBdr>
              <w:divsChild>
                <w:div w:id="56225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12573">
      <w:bodyDiv w:val="1"/>
      <w:marLeft w:val="0"/>
      <w:marRight w:val="0"/>
      <w:marTop w:val="0"/>
      <w:marBottom w:val="0"/>
      <w:divBdr>
        <w:top w:val="none" w:sz="0" w:space="0" w:color="auto"/>
        <w:left w:val="none" w:sz="0" w:space="0" w:color="auto"/>
        <w:bottom w:val="none" w:sz="0" w:space="0" w:color="auto"/>
        <w:right w:val="none" w:sz="0" w:space="0" w:color="auto"/>
      </w:divBdr>
      <w:divsChild>
        <w:div w:id="76826627">
          <w:marLeft w:val="0"/>
          <w:marRight w:val="0"/>
          <w:marTop w:val="0"/>
          <w:marBottom w:val="0"/>
          <w:divBdr>
            <w:top w:val="none" w:sz="0" w:space="0" w:color="auto"/>
            <w:left w:val="none" w:sz="0" w:space="0" w:color="auto"/>
            <w:bottom w:val="none" w:sz="0" w:space="0" w:color="auto"/>
            <w:right w:val="none" w:sz="0" w:space="0" w:color="auto"/>
          </w:divBdr>
          <w:divsChild>
            <w:div w:id="933712508">
              <w:marLeft w:val="0"/>
              <w:marRight w:val="0"/>
              <w:marTop w:val="240"/>
              <w:marBottom w:val="240"/>
              <w:divBdr>
                <w:top w:val="single" w:sz="12" w:space="0" w:color="EBEBEB"/>
                <w:left w:val="none" w:sz="0" w:space="0" w:color="auto"/>
                <w:bottom w:val="single" w:sz="12" w:space="0" w:color="EBEBEB"/>
                <w:right w:val="none" w:sz="0" w:space="0" w:color="auto"/>
              </w:divBdr>
              <w:divsChild>
                <w:div w:id="77178416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04871938">
      <w:bodyDiv w:val="1"/>
      <w:marLeft w:val="0"/>
      <w:marRight w:val="0"/>
      <w:marTop w:val="0"/>
      <w:marBottom w:val="0"/>
      <w:divBdr>
        <w:top w:val="none" w:sz="0" w:space="0" w:color="auto"/>
        <w:left w:val="none" w:sz="0" w:space="0" w:color="auto"/>
        <w:bottom w:val="none" w:sz="0" w:space="0" w:color="auto"/>
        <w:right w:val="none" w:sz="0" w:space="0" w:color="auto"/>
      </w:divBdr>
    </w:div>
    <w:div w:id="825125016">
      <w:bodyDiv w:val="1"/>
      <w:marLeft w:val="0"/>
      <w:marRight w:val="0"/>
      <w:marTop w:val="0"/>
      <w:marBottom w:val="0"/>
      <w:divBdr>
        <w:top w:val="none" w:sz="0" w:space="0" w:color="auto"/>
        <w:left w:val="none" w:sz="0" w:space="0" w:color="auto"/>
        <w:bottom w:val="none" w:sz="0" w:space="0" w:color="auto"/>
        <w:right w:val="none" w:sz="0" w:space="0" w:color="auto"/>
      </w:divBdr>
    </w:div>
    <w:div w:id="1467626035">
      <w:bodyDiv w:val="1"/>
      <w:marLeft w:val="0"/>
      <w:marRight w:val="0"/>
      <w:marTop w:val="0"/>
      <w:marBottom w:val="0"/>
      <w:divBdr>
        <w:top w:val="none" w:sz="0" w:space="0" w:color="auto"/>
        <w:left w:val="none" w:sz="0" w:space="0" w:color="auto"/>
        <w:bottom w:val="none" w:sz="0" w:space="0" w:color="auto"/>
        <w:right w:val="none" w:sz="0" w:space="0" w:color="auto"/>
      </w:divBdr>
      <w:divsChild>
        <w:div w:id="445002523">
          <w:marLeft w:val="0"/>
          <w:marRight w:val="0"/>
          <w:marTop w:val="0"/>
          <w:marBottom w:val="120"/>
          <w:divBdr>
            <w:top w:val="none" w:sz="0" w:space="0" w:color="auto"/>
            <w:left w:val="none" w:sz="0" w:space="0" w:color="auto"/>
            <w:bottom w:val="none" w:sz="0" w:space="0" w:color="auto"/>
            <w:right w:val="none" w:sz="0" w:space="0" w:color="auto"/>
          </w:divBdr>
          <w:divsChild>
            <w:div w:id="1655720345">
              <w:marLeft w:val="0"/>
              <w:marRight w:val="0"/>
              <w:marTop w:val="0"/>
              <w:marBottom w:val="0"/>
              <w:divBdr>
                <w:top w:val="none" w:sz="0" w:space="0" w:color="auto"/>
                <w:left w:val="none" w:sz="0" w:space="0" w:color="auto"/>
                <w:bottom w:val="none" w:sz="0" w:space="0" w:color="auto"/>
                <w:right w:val="none" w:sz="0" w:space="0" w:color="auto"/>
              </w:divBdr>
            </w:div>
          </w:divsChild>
        </w:div>
        <w:div w:id="754475801">
          <w:marLeft w:val="0"/>
          <w:marRight w:val="0"/>
          <w:marTop w:val="0"/>
          <w:marBottom w:val="120"/>
          <w:divBdr>
            <w:top w:val="none" w:sz="0" w:space="0" w:color="auto"/>
            <w:left w:val="none" w:sz="0" w:space="0" w:color="auto"/>
            <w:bottom w:val="none" w:sz="0" w:space="0" w:color="auto"/>
            <w:right w:val="none" w:sz="0" w:space="0" w:color="auto"/>
          </w:divBdr>
          <w:divsChild>
            <w:div w:id="9602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120197122032289X" TargetMode="External"/><Relationship Id="rId13" Type="http://schemas.openxmlformats.org/officeDocument/2006/relationships/hyperlink" Target="https://www.sciencedirect.com/science/article/pii/S120197122032289X" TargetMode="External"/><Relationship Id="rId3" Type="http://schemas.openxmlformats.org/officeDocument/2006/relationships/webSettings" Target="webSettings.xml"/><Relationship Id="rId7" Type="http://schemas.openxmlformats.org/officeDocument/2006/relationships/hyperlink" Target="https://www.sciencedirect.com/science/article/pii/S120197122032289X" TargetMode="External"/><Relationship Id="rId12" Type="http://schemas.openxmlformats.org/officeDocument/2006/relationships/hyperlink" Target="https://www.sciencedirect.com/science/article/pii/S120197122032289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cedirect.com/science/article/pii/S120197122032289X" TargetMode="External"/><Relationship Id="rId11" Type="http://schemas.openxmlformats.org/officeDocument/2006/relationships/hyperlink" Target="https://www.sciencedirect.com/science/article/pii/S120197122032289X" TargetMode="External"/><Relationship Id="rId5" Type="http://schemas.openxmlformats.org/officeDocument/2006/relationships/hyperlink" Target="https://www.sciencedirect.com/science/article/pii/S120197122032289X" TargetMode="External"/><Relationship Id="rId15" Type="http://schemas.openxmlformats.org/officeDocument/2006/relationships/theme" Target="theme/theme1.xml"/><Relationship Id="rId10" Type="http://schemas.openxmlformats.org/officeDocument/2006/relationships/hyperlink" Target="https://www.sciencedirect.com/science/article/pii/S120197122032289X" TargetMode="External"/><Relationship Id="rId4" Type="http://schemas.openxmlformats.org/officeDocument/2006/relationships/hyperlink" Target="https://www.sciencedirect.com/science/article/pii/S120197122032289X" TargetMode="External"/><Relationship Id="rId9" Type="http://schemas.openxmlformats.org/officeDocument/2006/relationships/hyperlink" Target="https://www.sciencedirect.com/science/article/pii/S120197122032289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2340</Words>
  <Characters>13339</Characters>
  <Application>Microsoft Office Word</Application>
  <DocSecurity>0</DocSecurity>
  <Lines>111</Lines>
  <Paragraphs>31</Paragraphs>
  <ScaleCrop>false</ScaleCrop>
  <Company/>
  <LinksUpToDate>false</LinksUpToDate>
  <CharactersWithSpaces>15648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2021-08-16T12:08:00Z</dcterms:created>
  <dcterms:modified xsi:type="dcterms:W3CDTF">2021-08-16T12:12:00Z</dcterms:modified>
</cp:coreProperties>
</file>